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Contract Renewal Notice</w:t>
      </w:r>
    </w:p>
    <w:p>
      <w:r>
        <w:rPr>
          <w:rFonts w:ascii="Aptos" w:hAnsi="Aptos" w:eastAsia="Aptos"/>
          <w:b w:val="0"/>
          <w:color w:val="667285"/>
          <w:sz w:val="18"/>
        </w:rPr>
        <w:t>A professional renewal notice template for documenting renewal options, key dates, action owners, and commercial next steps.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Notice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Notice_Number"/>
                <w:tag w:val="Notice_Number"/>
                <w:id w:val="38053012"/>
                <w:showingPlcHdr/>
                <w:text/>
              </w:sdtPr>
              <w:sdtContent>
                <w:r>
                  <w:rPr>
                    <w:rFonts w:ascii="Aptos" w:hAnsi="Aptos" w:eastAsia="Aptos"/>
                    <w:b w:val="0"/>
                    <w:color w:val="333333"/>
                    <w:sz w:val="17"/>
                  </w:rPr>
                  <w:t>CRN-2026-1013</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Notice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Notice_Date"/>
                <w:tag w:val="Notice_Date"/>
                <w:id w:val="121064234"/>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Renewal Deadline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newal_Deadline"/>
                <w:tag w:val="Renewal_Deadline"/>
                <w:id w:val="260360657"/>
                <w:showingPlcHdr/>
                <w:text/>
              </w:sdtPr>
              <w:sdtContent>
                <w:r>
                  <w:rPr>
                    <w:rFonts w:ascii="Aptos" w:hAnsi="Aptos" w:eastAsia="Aptos"/>
                    <w:b w:val="0"/>
                    <w:color w:val="333333"/>
                    <w:sz w:val="17"/>
                  </w:rPr>
                  <w:t>Renewal Deadline sample value for Contract Renewal Notice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Contract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Title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_Title"/>
                      <w:tag w:val="Contract_Title"/>
                      <w:id w:val="104260125"/>
                      <w:showingPlcHdr/>
                      <w:text/>
                    </w:sdtPr>
                    <w:sdtContent>
                      <w:r>
                        <w:rPr>
                          <w:rFonts w:ascii="Aptos" w:hAnsi="Aptos" w:eastAsia="Aptos"/>
                          <w:b w:val="0"/>
                          <w:color w:val="333333"/>
                          <w:sz w:val="17"/>
                        </w:rPr>
                        <w:t>Contract Title sample value for Contract Renewal Notice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Counterparty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unterparty_Name"/>
                      <w:tag w:val="Counterparty_Name"/>
                      <w:id w:val="103447035"/>
                      <w:showingPlcHdr/>
                      <w:text/>
                    </w:sdtPr>
                    <w:sdtContent>
                      <w:r>
                        <w:rPr>
                          <w:rFonts w:ascii="Aptos" w:hAnsi="Aptos" w:eastAsia="Aptos"/>
                          <w:b w:val="0"/>
                          <w:color w:val="333333"/>
                          <w:sz w:val="17"/>
                        </w:rPr>
                        <w:t>21</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Current Term End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rrent_Term_End"/>
                      <w:tag w:val="Current_Term_End"/>
                      <w:id w:val="141889062"/>
                      <w:showingPlcHdr/>
                      <w:text/>
                    </w:sdtPr>
                    <w:sdtContent>
                      <w:r>
                        <w:rPr>
                          <w:rFonts w:ascii="Aptos" w:hAnsi="Aptos" w:eastAsia="Aptos"/>
                          <w:b w:val="0"/>
                          <w:color w:val="333333"/>
                          <w:sz w:val="17"/>
                        </w:rPr>
                        <w:t>Current Term End sample value for Contract Renewal Notice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Owner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Business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siness_Owner"/>
                      <w:tag w:val="Business_Owner"/>
                      <w:id w:val="164549218"/>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Contract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_Manager"/>
                      <w:tag w:val="Contract_Manager"/>
                      <w:id w:val="9634120"/>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Quality Assurance</w:t>
                      </w:r>
                    </w:sdtContent>
                  </w:sdt>
                </w:p>
              </w:tc>
            </w:tr>
          </w:tbl>
          <w:p/>
        </w:tc>
      </w:tr>
    </w:tbl>
    <w:p>
      <w:pPr>
        <w:spacing w:before="200" w:after="100" w:line="252" w:lineRule="auto"/>
      </w:pPr>
      <w:r>
        <w:rPr>
          <w:rFonts w:ascii="Aptos" w:hAnsi="Aptos" w:eastAsia="Aptos"/>
          <w:b/>
          <w:color w:val="146FF6"/>
          <w:sz w:val="22"/>
        </w:rPr>
        <w:t>Renewal Summary</w:t>
      </w:r>
    </w:p>
    <w:p>
      <w:pPr>
        <w:spacing w:before="0" w:after="120" w:line="252" w:lineRule="auto"/>
      </w:pPr>
      <w:sdt>
        <w:sdtPr>
          <w:rPr>
            <w:rFonts w:ascii="Aptos" w:hAnsi="Aptos" w:eastAsia="Aptos"/>
            <w:b w:val="0"/>
            <w:color w:val="333333"/>
            <w:sz w:val="18"/>
          </w:rPr>
          <w:alias w:val="Renewal_Summary"/>
          <w:tag w:val="Renewal_Summary"/>
          <w:id w:val="182995609"/>
        </w:sdtPr>
        <w:sdtContent>
          <w:r>
            <w:rPr>
              <w:rFonts w:ascii="Aptos" w:hAnsi="Aptos" w:eastAsia="Aptos"/>
              <w:b w:val="0"/>
              <w:color w:val="333333"/>
              <w:sz w:val="18"/>
            </w:rPr>
            <w:t>Contract Renewal Notice sample narrative for renewal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Commercial Context</w:t>
      </w:r>
    </w:p>
    <w:p>
      <w:pPr>
        <w:spacing w:before="0" w:after="120" w:line="252" w:lineRule="auto"/>
      </w:pPr>
      <w:sdt>
        <w:sdtPr>
          <w:rPr>
            <w:rFonts w:ascii="Aptos" w:hAnsi="Aptos" w:eastAsia="Aptos"/>
            <w:b w:val="0"/>
            <w:color w:val="333333"/>
            <w:sz w:val="18"/>
          </w:rPr>
          <w:alias w:val="Commercial_Context"/>
          <w:tag w:val="Commercial_Context"/>
          <w:id w:val="102915428"/>
        </w:sdtPr>
        <w:sdtContent>
          <w:r>
            <w:rPr>
              <w:rFonts w:ascii="Aptos" w:hAnsi="Aptos" w:eastAsia="Aptos"/>
              <w:b w:val="0"/>
              <w:color w:val="333333"/>
              <w:sz w:val="18"/>
            </w:rPr>
            <w:t>Contract Renewal Notice sample narrative for commercial context.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Renewal Options</w:t>
      </w:r>
    </w:p>
    <w:tbl>
      <w:tblPr>
        <w:tblW w:type="dxa" w:w="10000"/>
        <w:jc w:val="center"/>
        <w:tblLayout w:type="fixed"/>
        <w:tblLook w:firstColumn="1" w:firstRow="1" w:lastColumn="0" w:lastRow="0" w:noHBand="0" w:noVBand="1" w:val="04A0"/>
        <w:tblCaption w:val="Renewal_Op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Option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Term</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Price Impact</w:t>
            </w:r>
          </w:p>
        </w:tc>
        <w:tc>
          <w:tcPr>
            <w:tcW w:type="dxa" w:w="2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Recommendation</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Renewal_Options"/>
          <w:tag w:val="Renewal_Options"/>
          <w:id w:val="68509953"/>
          <w15:repeatingSection/>
        </w:sdtPr>
        <w:sdtContent>
          <w:sdt>
            <w:sdtPr>
              <w:id w:val="4214717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ption_No"/>
                        <w:tag w:val="Option_No"/>
                        <w:id w:val="139414654"/>
                        <w:showingPlcHdr/>
                        <w:text/>
                      </w:sdtPr>
                      <w:sdtContent>
                        <w:r>
                          <w:rPr>
                            <w:rFonts w:ascii="Aptos" w:hAnsi="Aptos" w:eastAsia="Aptos"/>
                            <w:b w:val="0"/>
                            <w:color w:val="333333"/>
                            <w:sz w:val="16"/>
                          </w:rPr>
                          <w:t>CRN-2026-1001</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newal_Option"/>
                        <w:tag w:val="Renewal_Option"/>
                        <w:id w:val="214033037"/>
                        <w:showingPlcHdr/>
                        <w:text/>
                      </w:sdtPr>
                      <w:sdtContent>
                        <w:r>
                          <w:rPr>
                            <w:rFonts w:ascii="Aptos" w:hAnsi="Aptos" w:eastAsia="Aptos"/>
                            <w:b w:val="0"/>
                            <w:color w:val="333333"/>
                            <w:sz w:val="16"/>
                          </w:rPr>
                          <w:t>Renewal Option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newal_Term"/>
                        <w:tag w:val="Renewal_Term"/>
                        <w:id w:val="220550313"/>
                        <w:showingPlcHdr/>
                        <w:text/>
                      </w:sdtPr>
                      <w:sdtContent>
                        <w:r>
                          <w:rPr>
                            <w:rFonts w:ascii="Aptos" w:hAnsi="Aptos" w:eastAsia="Aptos"/>
                            <w:b w:val="0"/>
                            <w:color w:val="333333"/>
                            <w:sz w:val="16"/>
                          </w:rPr>
                          <w:t>Renewal Term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ce_Impact"/>
                        <w:tag w:val="Price_Impact"/>
                        <w:id w:val="108135037"/>
                        <w:showingPlcHdr/>
                        <w:text/>
                      </w:sdtPr>
                      <w:sdtContent>
                        <w:r>
                          <w:rPr>
                            <w:rFonts w:ascii="Aptos" w:hAnsi="Aptos" w:eastAsia="Aptos"/>
                            <w:b w:val="0"/>
                            <w:color w:val="333333"/>
                            <w:sz w:val="16"/>
                          </w:rPr>
                          <w:t>6,075.00</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Renewal Notice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tion_Notes"/>
                        <w:tag w:val="Option_Notes"/>
                        <w:id w:val="128928930"/>
                        <w:showingPlcHdr/>
                        <w:text/>
                      </w:sdtPr>
                      <w:sdtContent>
                        <w:r>
                          <w:rPr>
                            <w:rFonts w:ascii="Aptos" w:hAnsi="Aptos" w:eastAsia="Aptos"/>
                            <w:b w:val="0"/>
                            <w:color w:val="333333"/>
                            <w:sz w:val="16"/>
                          </w:rPr>
                          <w:t>CRN-2026-1001</w:t>
                        </w:r>
                      </w:sdtContent>
                    </w:sdt>
                  </w:p>
                </w:tc>
              </w:tr>
            </w:sdtContent>
          </w:sdt>
          <w:sdt>
            <w:sdtPr>
              <w:id w:val="4214717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ption_No"/>
                        <w:tag w:val="Option_No"/>
                        <w:id w:val="139414654"/>
                        <w:showingPlcHdr/>
                        <w:text/>
                      </w:sdtPr>
                      <w:sdtContent>
                        <w:r>
                          <w:rPr>
                            <w:rFonts w:ascii="Aptos" w:hAnsi="Aptos" w:eastAsia="Aptos"/>
                            <w:b w:val="0"/>
                            <w:color w:val="333333"/>
                            <w:sz w:val="16"/>
                          </w:rPr>
                          <w:t>CRN-2026-1002</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newal_Option"/>
                        <w:tag w:val="Renewal_Option"/>
                        <w:id w:val="214033037"/>
                        <w:showingPlcHdr/>
                        <w:text/>
                      </w:sdtPr>
                      <w:sdtContent>
                        <w:r>
                          <w:rPr>
                            <w:rFonts w:ascii="Aptos" w:hAnsi="Aptos" w:eastAsia="Aptos"/>
                            <w:b w:val="0"/>
                            <w:color w:val="333333"/>
                            <w:sz w:val="16"/>
                          </w:rPr>
                          <w:t>Renewal Option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newal_Term"/>
                        <w:tag w:val="Renewal_Term"/>
                        <w:id w:val="220550313"/>
                        <w:showingPlcHdr/>
                        <w:text/>
                      </w:sdtPr>
                      <w:sdtContent>
                        <w:r>
                          <w:rPr>
                            <w:rFonts w:ascii="Aptos" w:hAnsi="Aptos" w:eastAsia="Aptos"/>
                            <w:b w:val="0"/>
                            <w:color w:val="333333"/>
                            <w:sz w:val="16"/>
                          </w:rPr>
                          <w:t>Renewal Term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ce_Impact"/>
                        <w:tag w:val="Price_Impact"/>
                        <w:id w:val="108135037"/>
                        <w:showingPlcHdr/>
                        <w:text/>
                      </w:sdtPr>
                      <w:sdtContent>
                        <w:r>
                          <w:rPr>
                            <w:rFonts w:ascii="Aptos" w:hAnsi="Aptos" w:eastAsia="Aptos"/>
                            <w:b w:val="0"/>
                            <w:color w:val="333333"/>
                            <w:sz w:val="16"/>
                          </w:rPr>
                          <w:t>7,350.00</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Renewal Notice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tion_Notes"/>
                        <w:tag w:val="Option_Notes"/>
                        <w:id w:val="128928930"/>
                        <w:showingPlcHdr/>
                        <w:text/>
                      </w:sdtPr>
                      <w:sdtContent>
                        <w:r>
                          <w:rPr>
                            <w:rFonts w:ascii="Aptos" w:hAnsi="Aptos" w:eastAsia="Aptos"/>
                            <w:b w:val="0"/>
                            <w:color w:val="333333"/>
                            <w:sz w:val="16"/>
                          </w:rPr>
                          <w:t>CRN-2026-1002</w:t>
                        </w:r>
                      </w:sdtContent>
                    </w:sdt>
                  </w:p>
                </w:tc>
              </w:tr>
            </w:sdtContent>
          </w:sdt>
          <w:sdt>
            <w:sdtPr>
              <w:id w:val="4214717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ption_No"/>
                        <w:tag w:val="Option_No"/>
                        <w:id w:val="139414654"/>
                        <w:showingPlcHdr/>
                        <w:text/>
                      </w:sdtPr>
                      <w:sdtContent>
                        <w:r>
                          <w:rPr>
                            <w:rFonts w:ascii="Aptos" w:hAnsi="Aptos" w:eastAsia="Aptos"/>
                            <w:b w:val="0"/>
                            <w:color w:val="333333"/>
                            <w:sz w:val="16"/>
                          </w:rPr>
                          <w:t>CRN-2026-1003</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newal_Option"/>
                        <w:tag w:val="Renewal_Option"/>
                        <w:id w:val="214033037"/>
                        <w:showingPlcHdr/>
                        <w:text/>
                      </w:sdtPr>
                      <w:sdtContent>
                        <w:r>
                          <w:rPr>
                            <w:rFonts w:ascii="Aptos" w:hAnsi="Aptos" w:eastAsia="Aptos"/>
                            <w:b w:val="0"/>
                            <w:color w:val="333333"/>
                            <w:sz w:val="16"/>
                          </w:rPr>
                          <w:t>Renewal Option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newal_Term"/>
                        <w:tag w:val="Renewal_Term"/>
                        <w:id w:val="220550313"/>
                        <w:showingPlcHdr/>
                        <w:text/>
                      </w:sdtPr>
                      <w:sdtContent>
                        <w:r>
                          <w:rPr>
                            <w:rFonts w:ascii="Aptos" w:hAnsi="Aptos" w:eastAsia="Aptos"/>
                            <w:b w:val="0"/>
                            <w:color w:val="333333"/>
                            <w:sz w:val="16"/>
                          </w:rPr>
                          <w:t>Renewal Term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ce_Impact"/>
                        <w:tag w:val="Price_Impact"/>
                        <w:id w:val="108135037"/>
                        <w:showingPlcHdr/>
                        <w:text/>
                      </w:sdtPr>
                      <w:sdtContent>
                        <w:r>
                          <w:rPr>
                            <w:rFonts w:ascii="Aptos" w:hAnsi="Aptos" w:eastAsia="Aptos"/>
                            <w:b w:val="0"/>
                            <w:color w:val="333333"/>
                            <w:sz w:val="16"/>
                          </w:rPr>
                          <w:t>8,625.00</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Renewal Notice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tion_Notes"/>
                        <w:tag w:val="Option_Notes"/>
                        <w:id w:val="128928930"/>
                        <w:showingPlcHdr/>
                        <w:text/>
                      </w:sdtPr>
                      <w:sdtContent>
                        <w:r>
                          <w:rPr>
                            <w:rFonts w:ascii="Aptos" w:hAnsi="Aptos" w:eastAsia="Aptos"/>
                            <w:b w:val="0"/>
                            <w:color w:val="333333"/>
                            <w:sz w:val="16"/>
                          </w:rPr>
                          <w:t>CRN-2026-1003</w:t>
                        </w:r>
                      </w:sdtContent>
                    </w:sdt>
                  </w:p>
                </w:tc>
              </w:tr>
            </w:sdtContent>
          </w:sdt>
          <w:sdt>
            <w:sdtPr>
              <w:id w:val="4214717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ption_No"/>
                        <w:tag w:val="Option_No"/>
                        <w:id w:val="139414654"/>
                        <w:showingPlcHdr/>
                        <w:text/>
                      </w:sdtPr>
                      <w:sdtContent>
                        <w:r>
                          <w:rPr>
                            <w:rFonts w:ascii="Aptos" w:hAnsi="Aptos" w:eastAsia="Aptos"/>
                            <w:b w:val="0"/>
                            <w:color w:val="333333"/>
                            <w:sz w:val="16"/>
                          </w:rPr>
                          <w:t>CRN-2026-1004</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newal_Option"/>
                        <w:tag w:val="Renewal_Option"/>
                        <w:id w:val="214033037"/>
                        <w:showingPlcHdr/>
                        <w:text/>
                      </w:sdtPr>
                      <w:sdtContent>
                        <w:r>
                          <w:rPr>
                            <w:rFonts w:ascii="Aptos" w:hAnsi="Aptos" w:eastAsia="Aptos"/>
                            <w:b w:val="0"/>
                            <w:color w:val="333333"/>
                            <w:sz w:val="16"/>
                          </w:rPr>
                          <w:t>Renewal Option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newal_Term"/>
                        <w:tag w:val="Renewal_Term"/>
                        <w:id w:val="220550313"/>
                        <w:showingPlcHdr/>
                        <w:text/>
                      </w:sdtPr>
                      <w:sdtContent>
                        <w:r>
                          <w:rPr>
                            <w:rFonts w:ascii="Aptos" w:hAnsi="Aptos" w:eastAsia="Aptos"/>
                            <w:b w:val="0"/>
                            <w:color w:val="333333"/>
                            <w:sz w:val="16"/>
                          </w:rPr>
                          <w:t>Renewal Term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ce_Impact"/>
                        <w:tag w:val="Price_Impact"/>
                        <w:id w:val="108135037"/>
                        <w:showingPlcHdr/>
                        <w:text/>
                      </w:sdtPr>
                      <w:sdtContent>
                        <w:r>
                          <w:rPr>
                            <w:rFonts w:ascii="Aptos" w:hAnsi="Aptos" w:eastAsia="Aptos"/>
                            <w:b w:val="0"/>
                            <w:color w:val="333333"/>
                            <w:sz w:val="16"/>
                          </w:rPr>
                          <w:t>9,900.00</w:t>
                        </w:r>
                      </w:sdtContent>
                    </w:sdt>
                  </w:p>
                </w:tc>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Contract Renewal Notice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ption_Notes"/>
                        <w:tag w:val="Option_Notes"/>
                        <w:id w:val="128928930"/>
                        <w:showingPlcHdr/>
                        <w:text/>
                      </w:sdtPr>
                      <w:sdtContent>
                        <w:r>
                          <w:rPr>
                            <w:rFonts w:ascii="Aptos" w:hAnsi="Aptos" w:eastAsia="Aptos"/>
                            <w:b w:val="0"/>
                            <w:color w:val="333333"/>
                            <w:sz w:val="16"/>
                          </w:rPr>
                          <w:t>CRN-2026-1004</w:t>
                        </w:r>
                      </w:sdtContent>
                    </w:sdt>
                  </w:p>
                </w:tc>
              </w:tr>
            </w:sdtContent>
          </w:sdt>
        </w:sdtContent>
      </w:sdt>
    </w:tbl>
    <w:p>
      <w:pPr>
        <w:spacing w:before="200" w:after="100" w:line="252" w:lineRule="auto"/>
      </w:pPr>
      <w:r>
        <w:rPr>
          <w:rFonts w:ascii="Aptos" w:hAnsi="Aptos" w:eastAsia="Aptos"/>
          <w:b/>
          <w:color w:val="146FF6"/>
          <w:sz w:val="22"/>
        </w:rPr>
        <w:t>Renewal Action Items</w:t>
      </w:r>
    </w:p>
    <w:tbl>
      <w:tblPr>
        <w:tblW w:type="dxa" w:w="10000"/>
        <w:jc w:val="center"/>
        <w:tblLayout w:type="fixed"/>
        <w:tblLook w:firstColumn="1" w:firstRow="1" w:lastColumn="0" w:lastRow="0" w:noHBand="0" w:noVBand="1" w:val="04A0"/>
        <w:tblCaption w:val="Renewal_Act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Renewal_Action_Items"/>
          <w:tag w:val="Renewal_Action_Items"/>
          <w:id w:val="152812570"/>
          <w15:repeatingSection/>
        </w:sdtPr>
        <w:sdtContent>
          <w:sdt>
            <w:sdtPr>
              <w:id w:val="195521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CRN-2026-1001</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195521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CRN-2026-1002</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195521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CRN-2026-1003</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195521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CRN-2026-1004</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Item"/>
                        <w:tag w:val="Action_Item"/>
                        <w:id w:val="133157285"/>
                        <w:showingPlcHdr/>
                        <w:text/>
                      </w:sdtPr>
                      <w:sdtContent>
                        <w:r>
                          <w:rPr>
                            <w:rFonts w:ascii="Aptos" w:hAnsi="Aptos" w:eastAsia="Aptos"/>
                            <w:b w:val="0"/>
                            <w:color w:val="333333"/>
                            <w:sz w:val="16"/>
                          </w:rPr>
                          <w:t>Action Item sample value for Contract Renewal Notice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Current Annual Value</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Current_Annual_Value"/>
                <w:tag w:val="Current_Annual_Value"/>
                <w:id w:val="186724010"/>
                <w:showingPlcHdr/>
                <w:text/>
              </w:sdtPr>
              <w:sdtContent>
                <w:r>
                  <w:rPr>
                    <w:rFonts w:ascii="Aptos" w:hAnsi="Aptos" w:eastAsia="Aptos"/>
                    <w:b/>
                    <w:color w:val="333333"/>
                    <w:sz w:val="16"/>
                  </w:rPr>
                  <w:t>15,000.00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Proposed Annual Value</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Proposed_Annual_Value"/>
                <w:tag w:val="Proposed_Annual_Value"/>
                <w:id w:val="29792532"/>
                <w:showingPlcHdr/>
                <w:text/>
              </w:sdtPr>
              <w:sdtContent>
                <w:r>
                  <w:rPr>
                    <w:rFonts w:ascii="Aptos" w:hAnsi="Aptos" w:eastAsia="Aptos"/>
                    <w:b/>
                    <w:color w:val="333333"/>
                    <w:sz w:val="17"/>
                  </w:rPr>
                  <w:t>23,925.00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CRN-2026-1001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Contract Manager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ontract_Manager_Signature"/>
                <w:tag w:val="Contract_Manager_Signature"/>
                <w:id w:val="37413473"/>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Contract Renewal Notice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