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D7614" w14:textId="2AC85752" w:rsidR="00EB0679" w:rsidRPr="00EB0679" w:rsidRDefault="00BC4D1B" w:rsidP="00EB0679">
      <w:pPr>
        <w:pStyle w:val="Title"/>
      </w:pPr>
      <w:r>
        <w:t xml:space="preserve">Kit de filtros domésticos de British </w:t>
      </w:r>
      <w:proofErr w:type="spellStart"/>
      <w:r>
        <w:t>Berkefeld</w:t>
      </w:r>
      <w:proofErr w:type="spellEnd"/>
    </w:p>
    <w:tbl>
      <w:tblPr>
        <w:tblStyle w:val="TableGrid"/>
        <w:tblW w:w="5146" w:type="pct"/>
        <w:jc w:val="center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D9D9D9" w:themeColor="background1" w:themeShade="D9"/>
          <w:insideV w:val="none" w:sz="0" w:space="0" w:color="auto"/>
        </w:tblBorders>
        <w:tblCellMar>
          <w:top w:w="227" w:type="dxa"/>
          <w:left w:w="57" w:type="dxa"/>
          <w:bottom w:w="227" w:type="dxa"/>
          <w:right w:w="57" w:type="dxa"/>
        </w:tblCellMar>
        <w:tblLook w:val="04A0" w:firstRow="1" w:lastRow="0" w:firstColumn="1" w:lastColumn="0" w:noHBand="0" w:noVBand="1"/>
      </w:tblPr>
      <w:tblGrid>
        <w:gridCol w:w="1756"/>
        <w:gridCol w:w="1756"/>
        <w:gridCol w:w="1756"/>
        <w:gridCol w:w="1756"/>
        <w:gridCol w:w="1757"/>
        <w:gridCol w:w="1954"/>
      </w:tblGrid>
      <w:tr w:rsidR="00122376" w:rsidRPr="004C3429" w14:paraId="0C3C9586" w14:textId="77777777" w:rsidTr="00F27918">
        <w:trPr>
          <w:trHeight w:val="363"/>
          <w:tblCellSpacing w:w="56" w:type="dxa"/>
          <w:jc w:val="center"/>
        </w:trPr>
        <w:tc>
          <w:tcPr>
            <w:tcW w:w="755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307A247" w14:textId="77777777" w:rsidR="00345C5E" w:rsidRPr="00FE612E" w:rsidRDefault="00345C5E" w:rsidP="00FE612E">
            <w:pPr>
              <w:pStyle w:val="MBATableText"/>
            </w:pPr>
            <w:r>
              <w:t>Protección de la fuente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76E947E5" w14:textId="77777777" w:rsidR="00345C5E" w:rsidRPr="00FE612E" w:rsidRDefault="00345C5E" w:rsidP="00FE612E">
            <w:pPr>
              <w:pStyle w:val="MBATableText"/>
            </w:pPr>
            <w:r>
              <w:t>Transporte seguro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6E780EAE" w14:textId="77777777" w:rsidR="00345C5E" w:rsidRPr="00FE612E" w:rsidRDefault="00345C5E" w:rsidP="00FE612E">
            <w:pPr>
              <w:pStyle w:val="MBATableText"/>
            </w:pPr>
            <w:r>
              <w:t>Sedimentación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ED81809" w14:textId="77777777" w:rsidR="00345C5E" w:rsidRPr="00FE612E" w:rsidRDefault="00345C5E" w:rsidP="00FE612E">
            <w:pPr>
              <w:pStyle w:val="MBATableText-Selected"/>
            </w:pPr>
            <w:r>
              <w:t>Filtración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131EB743" w14:textId="77777777" w:rsidR="00345C5E" w:rsidRPr="00FE612E" w:rsidRDefault="00345C5E" w:rsidP="00FE612E">
            <w:pPr>
              <w:pStyle w:val="MBATableText"/>
            </w:pPr>
            <w:r>
              <w:t>Desinfección</w:t>
            </w:r>
          </w:p>
        </w:tc>
        <w:tc>
          <w:tcPr>
            <w:tcW w:w="755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8D8D8" w:themeFill="text1" w:themeFillTint="33"/>
            <w:vAlign w:val="center"/>
          </w:tcPr>
          <w:p w14:paraId="1C693C57" w14:textId="77777777" w:rsidR="00345C5E" w:rsidRPr="00FE612E" w:rsidRDefault="00345C5E" w:rsidP="00923341">
            <w:pPr>
              <w:pStyle w:val="MBATableText-Selected"/>
            </w:pPr>
            <w:r>
              <w:t>Almacenamiento seguro</w:t>
            </w:r>
          </w:p>
        </w:tc>
      </w:tr>
    </w:tbl>
    <w:p w14:paraId="0B40E6D6" w14:textId="475BE9ED" w:rsidR="00510EBB" w:rsidRPr="004C3429" w:rsidRDefault="00D165DA" w:rsidP="00A45B29">
      <w:pPr>
        <w:pStyle w:val="Heading1"/>
      </w:pPr>
      <w:r>
        <w:t>¿Qué es?</w:t>
      </w:r>
    </w:p>
    <w:p w14:paraId="53E45936" w14:textId="4EE90253" w:rsidR="00D338CE" w:rsidRPr="004C3429" w:rsidRDefault="004746FE" w:rsidP="00121E61">
      <w:r>
        <w:rPr>
          <w:noProof/>
        </w:rPr>
        <w:drawing>
          <wp:anchor distT="0" distB="0" distL="114300" distR="114300" simplePos="0" relativeHeight="251681280" behindDoc="0" locked="0" layoutInCell="1" allowOverlap="1" wp14:anchorId="272DDE42" wp14:editId="13B1E780">
            <wp:simplePos x="0" y="0"/>
            <wp:positionH relativeFrom="margin">
              <wp:align>right</wp:align>
            </wp:positionH>
            <wp:positionV relativeFrom="page">
              <wp:posOffset>2187575</wp:posOffset>
            </wp:positionV>
            <wp:extent cx="1429385" cy="2139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Media/EPD Media/1 - Images/Object/HWT/BSF_cutou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5DA">
        <w:t xml:space="preserve">Este filtro de mesa es fabricado por British </w:t>
      </w:r>
      <w:proofErr w:type="spellStart"/>
      <w:r w:rsidR="00D165DA">
        <w:t>Berkefeld</w:t>
      </w:r>
      <w:proofErr w:type="spellEnd"/>
      <w:r w:rsidR="00D165DA">
        <w:t xml:space="preserve"> en el Reino Unido. El kit incluye dos, tres o cuatro velas de cerámica, dos baldes de 16 L con </w:t>
      </w:r>
      <w:r w:rsidR="00D73085">
        <w:t xml:space="preserve">cierres a </w:t>
      </w:r>
      <w:r w:rsidR="00D165DA">
        <w:t xml:space="preserve">presión en las tapas, </w:t>
      </w:r>
      <w:r w:rsidR="00D73085">
        <w:t>una llave</w:t>
      </w:r>
      <w:r w:rsidR="00D165DA">
        <w:t xml:space="preserve"> para el recipiente de almacenamiento, los materiales necesarios para la instalación y una herramienta para medir el diámetro de las velas. Los kits vendidos para respuesta ante emergencias generalmente vienen con dos velas impregnadas de plata.</w:t>
      </w:r>
    </w:p>
    <w:p w14:paraId="7A3F52AB" w14:textId="77777777" w:rsidR="00AA1CCE" w:rsidRPr="004C3429" w:rsidRDefault="00FC0B37" w:rsidP="00B9649E">
      <w:pPr>
        <w:pStyle w:val="Heading1"/>
      </w:pPr>
      <w:r>
        <w:t>Desempeño</w:t>
      </w:r>
    </w:p>
    <w:p w14:paraId="6A535318" w14:textId="77777777" w:rsidR="004D674B" w:rsidRPr="004C3429" w:rsidRDefault="004D674B" w:rsidP="004746FE">
      <w:pPr>
        <w:pStyle w:val="Heading2"/>
        <w:spacing w:before="0"/>
      </w:pPr>
      <w:r>
        <w:t>Eficacia microbiológica</w:t>
      </w:r>
    </w:p>
    <w:tbl>
      <w:tblPr>
        <w:tblStyle w:val="PlainTable3"/>
        <w:tblW w:w="7797" w:type="dxa"/>
        <w:tblLook w:val="0420" w:firstRow="1" w:lastRow="0" w:firstColumn="0" w:lastColumn="0" w:noHBand="0" w:noVBand="1"/>
      </w:tblPr>
      <w:tblGrid>
        <w:gridCol w:w="4102"/>
        <w:gridCol w:w="3695"/>
      </w:tblGrid>
      <w:tr w:rsidR="00EB0679" w:rsidRPr="004C3429" w14:paraId="0B257242" w14:textId="77777777" w:rsidTr="00D16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tcW w:w="0" w:type="auto"/>
          </w:tcPr>
          <w:p w14:paraId="19A7ABFE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Parámetro</w:t>
            </w:r>
          </w:p>
        </w:tc>
        <w:tc>
          <w:tcPr>
            <w:tcW w:w="3695" w:type="dxa"/>
          </w:tcPr>
          <w:p w14:paraId="507DF4CE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Eficacia</w:t>
            </w:r>
          </w:p>
        </w:tc>
      </w:tr>
      <w:tr w:rsidR="00EB0679" w:rsidRPr="004C3429" w14:paraId="72C06D5F" w14:textId="77777777" w:rsidTr="00D16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0" w:type="auto"/>
          </w:tcPr>
          <w:p w14:paraId="369D0546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Bacterias</w:t>
            </w:r>
          </w:p>
        </w:tc>
        <w:tc>
          <w:tcPr>
            <w:tcW w:w="3695" w:type="dxa"/>
          </w:tcPr>
          <w:p w14:paraId="40E02A38" w14:textId="76E02AD9" w:rsidR="004D674B" w:rsidRPr="00163EEA" w:rsidRDefault="00F27918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Muy eficaz (&gt;99%)</w:t>
            </w:r>
          </w:p>
        </w:tc>
      </w:tr>
      <w:tr w:rsidR="00EB0679" w:rsidRPr="004C3429" w14:paraId="1701B17F" w14:textId="77777777" w:rsidTr="00D165DA">
        <w:trPr>
          <w:trHeight w:val="263"/>
        </w:trPr>
        <w:tc>
          <w:tcPr>
            <w:tcW w:w="0" w:type="auto"/>
          </w:tcPr>
          <w:p w14:paraId="5B30DD35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Virus</w:t>
            </w:r>
          </w:p>
        </w:tc>
        <w:tc>
          <w:tcPr>
            <w:tcW w:w="3695" w:type="dxa"/>
          </w:tcPr>
          <w:p w14:paraId="7CA3124B" w14:textId="0391B674" w:rsidR="004D674B" w:rsidRPr="00163EEA" w:rsidRDefault="00F27918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No hay ensayos independientes</w:t>
            </w:r>
          </w:p>
        </w:tc>
      </w:tr>
      <w:tr w:rsidR="00EB0679" w:rsidRPr="004C3429" w14:paraId="0B060138" w14:textId="77777777" w:rsidTr="00D16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tcW w:w="0" w:type="auto"/>
          </w:tcPr>
          <w:p w14:paraId="37031E7E" w14:textId="1D017CAE" w:rsidR="004D674B" w:rsidRPr="00163EEA" w:rsidRDefault="00D165DA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Protozoos</w:t>
            </w:r>
          </w:p>
        </w:tc>
        <w:tc>
          <w:tcPr>
            <w:tcW w:w="3695" w:type="dxa"/>
          </w:tcPr>
          <w:p w14:paraId="0DB59AF2" w14:textId="54638652" w:rsidR="004D674B" w:rsidRPr="00163EEA" w:rsidRDefault="004D674B" w:rsidP="00D165D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Muy eficaz (&gt;99%)</w:t>
            </w:r>
          </w:p>
        </w:tc>
      </w:tr>
      <w:tr w:rsidR="00EB0679" w:rsidRPr="004C3429" w14:paraId="16922F24" w14:textId="77777777" w:rsidTr="00D165DA">
        <w:trPr>
          <w:trHeight w:val="250"/>
        </w:trPr>
        <w:tc>
          <w:tcPr>
            <w:tcW w:w="0" w:type="auto"/>
          </w:tcPr>
          <w:p w14:paraId="7B5AAB10" w14:textId="38497144" w:rsidR="00F33DDE" w:rsidRPr="00163EEA" w:rsidRDefault="00F33DDE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Helmintos</w:t>
            </w:r>
          </w:p>
        </w:tc>
        <w:tc>
          <w:tcPr>
            <w:tcW w:w="3695" w:type="dxa"/>
          </w:tcPr>
          <w:p w14:paraId="60617A00" w14:textId="2D12B449" w:rsidR="00F33DDE" w:rsidRPr="00163EEA" w:rsidRDefault="00F27918" w:rsidP="00D165D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Muy eficaz*</w:t>
            </w:r>
          </w:p>
        </w:tc>
      </w:tr>
    </w:tbl>
    <w:p w14:paraId="01272317" w14:textId="3F868725" w:rsidR="00EB0679" w:rsidRDefault="00D165DA" w:rsidP="00EB0679">
      <w:pPr>
        <w:pStyle w:val="Caption"/>
        <w:sectPr w:rsidR="00EB0679" w:rsidSect="00122376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0" w:h="16840" w:code="9"/>
          <w:pgMar w:top="720" w:right="720" w:bottom="720" w:left="720" w:header="737" w:footer="737" w:gutter="0"/>
          <w:pgNumType w:start="0"/>
          <w:cols w:space="708"/>
          <w:docGrid w:linePitch="360"/>
        </w:sectPr>
      </w:pPr>
      <w:r>
        <w:t>*Supuesto basado en el tamaño de los agentes patógenos</w:t>
      </w:r>
    </w:p>
    <w:p w14:paraId="5579E6DF" w14:textId="77777777" w:rsidR="003125F4" w:rsidRDefault="00AE29FC" w:rsidP="003125F4">
      <w:pPr>
        <w:pStyle w:val="Heading2"/>
      </w:pPr>
      <w:r>
        <w:t>Otros parámetros</w:t>
      </w:r>
      <w:bookmarkStart w:id="0" w:name="_GoBack"/>
      <w:bookmarkEnd w:id="0"/>
    </w:p>
    <w:p w14:paraId="409AD7B9" w14:textId="16E2CE6E" w:rsidR="00AE29FC" w:rsidRPr="003125F4" w:rsidRDefault="00F27918" w:rsidP="003125F4">
      <w:r>
        <w:t xml:space="preserve">Eficaz para eliminar la turbidez. </w:t>
      </w:r>
    </w:p>
    <w:p w14:paraId="0F52A9EE" w14:textId="14B4CF1A" w:rsidR="003125F4" w:rsidRDefault="00A53254" w:rsidP="003125F4">
      <w:pPr>
        <w:pStyle w:val="Heading2"/>
      </w:pPr>
      <w:r>
        <w:t xml:space="preserve">Agua de </w:t>
      </w:r>
      <w:r w:rsidR="00D73085">
        <w:t>entrada/fuente</w:t>
      </w:r>
      <w:r>
        <w:t xml:space="preserve"> requerida</w:t>
      </w:r>
    </w:p>
    <w:p w14:paraId="714DBB24" w14:textId="27459427" w:rsidR="008C6462" w:rsidRPr="003125F4" w:rsidRDefault="00C87438" w:rsidP="003125F4">
      <w:r>
        <w:t xml:space="preserve">La turbidez muy alta puede tapar el filtro rápidamente y aumentar la frecuencia necesaria de </w:t>
      </w:r>
      <w:proofErr w:type="spellStart"/>
      <w:r>
        <w:t>retrolavado</w:t>
      </w:r>
      <w:proofErr w:type="spellEnd"/>
      <w:r>
        <w:t>.</w:t>
      </w:r>
    </w:p>
    <w:p w14:paraId="4E11504F" w14:textId="77777777" w:rsidR="003125F4" w:rsidRDefault="008C6462" w:rsidP="003125F4">
      <w:pPr>
        <w:pStyle w:val="Heading2"/>
      </w:pPr>
      <w:r>
        <w:t>Capacidad</w:t>
      </w:r>
    </w:p>
    <w:p w14:paraId="0942C6D6" w14:textId="1F358585" w:rsidR="008C6462" w:rsidRPr="003125F4" w:rsidRDefault="00D165DA" w:rsidP="00C87438">
      <w:r>
        <w:t xml:space="preserve">Puede tratar 16 L por vez. La velocidad de flujo es 1 L por vela de cerámica por hora. </w:t>
      </w:r>
    </w:p>
    <w:p w14:paraId="61D2B4F1" w14:textId="77777777" w:rsidR="003125F4" w:rsidRDefault="008C6462" w:rsidP="003125F4">
      <w:pPr>
        <w:pStyle w:val="Heading2"/>
      </w:pPr>
      <w:r>
        <w:t>Vida útil</w:t>
      </w:r>
    </w:p>
    <w:p w14:paraId="6B745A0A" w14:textId="4120501D" w:rsidR="008C6462" w:rsidRPr="003125F4" w:rsidRDefault="0088390A" w:rsidP="003125F4">
      <w:r>
        <w:t>La vida útil informada por el fabricante es 10.000 L por vela de cerámica. La vida útil real varía, según la calidad del agua, el uso y el mantenimiento.</w:t>
      </w:r>
    </w:p>
    <w:p w14:paraId="69AF1F53" w14:textId="7B383B16" w:rsidR="00FC0B37" w:rsidRPr="004C3429" w:rsidRDefault="00FC0B37" w:rsidP="00B9649E">
      <w:pPr>
        <w:pStyle w:val="Heading1"/>
      </w:pPr>
      <w:r>
        <w:t>Facilidad de uso y acepta</w:t>
      </w:r>
      <w:r w:rsidR="00D73085">
        <w:t>bilidad</w:t>
      </w:r>
    </w:p>
    <w:p w14:paraId="7E51B05B" w14:textId="77777777" w:rsidR="003125F4" w:rsidRDefault="003125F4" w:rsidP="004746FE">
      <w:pPr>
        <w:pStyle w:val="Heading2"/>
        <w:spacing w:before="0"/>
      </w:pPr>
      <w:r>
        <w:t>Operación y mantenimiento</w:t>
      </w:r>
    </w:p>
    <w:p w14:paraId="1EE780E8" w14:textId="0334F452" w:rsidR="00FC0B37" w:rsidRPr="003125F4" w:rsidRDefault="00C87438" w:rsidP="003125F4">
      <w:r>
        <w:t xml:space="preserve">Verter agua por la parte de arriba del recipiente superior y esperar a que fluya por el filtro y caiga en un recipiente de almacenamiento seguro. Se puede acceder al agua tratada mediante </w:t>
      </w:r>
      <w:r w:rsidR="00D73085">
        <w:t>la llave</w:t>
      </w:r>
      <w:r>
        <w:t>. Cuando la velocidad de flujo disminuye después de un tiempo, se puede usar un estropajo para quitar restregando una capa muy fina del material cerámico.</w:t>
      </w:r>
    </w:p>
    <w:p w14:paraId="324902D9" w14:textId="6BE99B64" w:rsidR="003125F4" w:rsidRDefault="008C6462" w:rsidP="003125F4">
      <w:pPr>
        <w:pStyle w:val="Heading2"/>
      </w:pPr>
      <w:r>
        <w:t>Reparación y repuestos</w:t>
      </w:r>
    </w:p>
    <w:p w14:paraId="35FF0C02" w14:textId="724752A8" w:rsidR="008C6462" w:rsidRPr="003125F4" w:rsidRDefault="00C87438" w:rsidP="003125F4">
      <w:r>
        <w:t xml:space="preserve">Las velas de cerámica son frágiles y deben reemplazarse si presentan rajaduras o filtraciones o si </w:t>
      </w:r>
      <w:r>
        <w:t>a causa de la limpieza frecuente se vuelven más delgadas que la herramienta de medición provista. Las partes de plástico duran más, pero quizás sea necesario reemplazarlas.</w:t>
      </w:r>
    </w:p>
    <w:p w14:paraId="147C8604" w14:textId="77777777" w:rsidR="003125F4" w:rsidRDefault="008C6462" w:rsidP="003125F4">
      <w:pPr>
        <w:pStyle w:val="Heading2"/>
      </w:pPr>
      <w:r>
        <w:t>Consideraciones y preferencias de los usuarios</w:t>
      </w:r>
    </w:p>
    <w:p w14:paraId="7B340623" w14:textId="7B8518A0" w:rsidR="00C87438" w:rsidRDefault="00B95325" w:rsidP="00C87438">
      <w:r>
        <w:t xml:space="preserve">El filtro incluye un recipiente de almacenamiento seguro. No exponer el filtro directamente a la luz del sol para evitar la degradación de las piezas de plástico. </w:t>
      </w:r>
    </w:p>
    <w:p w14:paraId="67D224B1" w14:textId="51350CAC" w:rsidR="00FC0B37" w:rsidRPr="004C3429" w:rsidRDefault="00FC0B37" w:rsidP="00C87438">
      <w:pPr>
        <w:pStyle w:val="Heading1"/>
      </w:pPr>
      <w:r>
        <w:t>Viabilidad</w:t>
      </w:r>
    </w:p>
    <w:p w14:paraId="03D679C3" w14:textId="77777777" w:rsidR="003125F4" w:rsidRDefault="008C6462" w:rsidP="003125F4">
      <w:pPr>
        <w:pStyle w:val="Heading2"/>
      </w:pPr>
      <w:r>
        <w:t>Disponibilidad</w:t>
      </w:r>
    </w:p>
    <w:p w14:paraId="5609F10D" w14:textId="18D6A98B" w:rsidR="00FC0B37" w:rsidRPr="003125F4" w:rsidRDefault="00C87438" w:rsidP="003125F4">
      <w:r>
        <w:t xml:space="preserve">Fabricado y comercializado por British </w:t>
      </w:r>
      <w:proofErr w:type="spellStart"/>
      <w:r>
        <w:t>Berkefeld</w:t>
      </w:r>
      <w:proofErr w:type="spellEnd"/>
      <w:r>
        <w:t>. Se hacen envíos internacionales. Solo venta al por mayor (100 filtros o más).</w:t>
      </w:r>
    </w:p>
    <w:p w14:paraId="567156F0" w14:textId="77777777" w:rsidR="003125F4" w:rsidRDefault="008C6462" w:rsidP="003125F4">
      <w:pPr>
        <w:pStyle w:val="Heading2"/>
      </w:pPr>
      <w:r>
        <w:t>Costo</w:t>
      </w:r>
    </w:p>
    <w:p w14:paraId="55211F83" w14:textId="40C89322" w:rsidR="008C6462" w:rsidRPr="003125F4" w:rsidRDefault="00A960BC" w:rsidP="003125F4">
      <w:r>
        <w:t>Los kits de dos velas cuestan US$ 24-31 (más envío).</w:t>
      </w:r>
    </w:p>
    <w:p w14:paraId="72C2B4C3" w14:textId="69C168D9" w:rsidR="003125F4" w:rsidRDefault="008C6462" w:rsidP="003125F4">
      <w:pPr>
        <w:pStyle w:val="Heading2"/>
      </w:pPr>
      <w:r>
        <w:t>Peso y tamaño</w:t>
      </w:r>
    </w:p>
    <w:p w14:paraId="329D8451" w14:textId="2123F0B2" w:rsidR="008C6462" w:rsidRPr="003125F4" w:rsidRDefault="00A960BC" w:rsidP="003125F4">
      <w:r>
        <w:t>No disponible.</w:t>
      </w:r>
    </w:p>
    <w:p w14:paraId="17E9EBCC" w14:textId="77777777" w:rsidR="00AA1CCE" w:rsidRPr="004C3429" w:rsidRDefault="00B9649E" w:rsidP="00B9649E">
      <w:pPr>
        <w:pStyle w:val="Heading1"/>
      </w:pPr>
      <w:r>
        <w:t>Más información</w:t>
      </w:r>
    </w:p>
    <w:p w14:paraId="22CDC844" w14:textId="2804E06B" w:rsidR="00C4582D" w:rsidRDefault="00C4582D" w:rsidP="00C4582D">
      <w:pPr>
        <w:sectPr w:rsidR="00C4582D" w:rsidSect="00EB0679">
          <w:type w:val="continuous"/>
          <w:pgSz w:w="11900" w:h="16840" w:code="9"/>
          <w:pgMar w:top="720" w:right="720" w:bottom="720" w:left="720" w:header="737" w:footer="737" w:gutter="0"/>
          <w:pgNumType w:start="0"/>
          <w:cols w:num="2" w:space="708"/>
          <w:docGrid w:linePitch="360"/>
        </w:sectPr>
      </w:pPr>
      <w:r>
        <w:t xml:space="preserve">Detalles y referencias: </w:t>
      </w:r>
      <w:hyperlink r:id="rId13" w:history="1">
        <w:r>
          <w:rPr>
            <w:rStyle w:val="Hyperlink"/>
          </w:rPr>
          <w:t>www.hwts.info/products-technologies/62d9fef4/british-berkefeldr-household-filter-kit</w:t>
        </w:r>
      </w:hyperlink>
    </w:p>
    <w:p w14:paraId="33E3046F" w14:textId="77777777" w:rsidR="00EB0679" w:rsidRPr="004C3429" w:rsidRDefault="00EB0679" w:rsidP="00EB0679">
      <w:pPr>
        <w:pStyle w:val="Table-AfterParagraphInvisibility"/>
      </w:pPr>
    </w:p>
    <w:sectPr w:rsidR="00EB0679" w:rsidRPr="004C3429" w:rsidSect="00535AB5">
      <w:type w:val="continuous"/>
      <w:pgSz w:w="11900" w:h="16840" w:code="9"/>
      <w:pgMar w:top="720" w:right="720" w:bottom="720" w:left="720" w:header="737" w:footer="73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2A5AC" w14:textId="77777777" w:rsidR="00AE547A" w:rsidRDefault="00AE547A" w:rsidP="00510EBB">
      <w:r>
        <w:separator/>
      </w:r>
    </w:p>
  </w:endnote>
  <w:endnote w:type="continuationSeparator" w:id="0">
    <w:p w14:paraId="0E775990" w14:textId="77777777" w:rsidR="00AE547A" w:rsidRDefault="00AE547A" w:rsidP="0051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E6BE7" w14:textId="77777777" w:rsidR="00353B84" w:rsidRDefault="00353B84" w:rsidP="007A328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4E38EF" w14:textId="77777777" w:rsidR="00353B84" w:rsidRDefault="00353B84" w:rsidP="007A3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2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02"/>
      <w:gridCol w:w="6968"/>
      <w:gridCol w:w="1590"/>
    </w:tblGrid>
    <w:tr w:rsidR="00FE7F58" w14:paraId="0B19C28C" w14:textId="77777777" w:rsidTr="00837C45">
      <w:trPr>
        <w:trHeight w:val="680"/>
      </w:trPr>
      <w:tc>
        <w:tcPr>
          <w:tcW w:w="8870" w:type="dxa"/>
          <w:gridSpan w:val="2"/>
          <w:tcMar>
            <w:top w:w="57" w:type="dxa"/>
          </w:tcMar>
          <w:vAlign w:val="center"/>
        </w:tcPr>
        <w:p w14:paraId="6AA95BC9" w14:textId="77777777" w:rsidR="00FE7F58" w:rsidRPr="00FE7F58" w:rsidRDefault="00FE7F58" w:rsidP="00FE7F58">
          <w:pPr>
            <w:pStyle w:val="NoSpacing-Table"/>
          </w:pPr>
          <w:r>
            <w:t xml:space="preserve">Este documento es de contenido abierto y está elaborado bajo la licencia </w:t>
          </w:r>
          <w:hyperlink r:id="rId1" w:history="1">
            <w:proofErr w:type="spellStart"/>
            <w:r>
              <w:rPr>
                <w:rStyle w:val="Hyperlink"/>
              </w:rPr>
              <w:t>Creative</w:t>
            </w:r>
            <w:proofErr w:type="spellEnd"/>
            <w:r>
              <w:rPr>
                <w:rStyle w:val="Hyperlink"/>
              </w:rPr>
              <w:t xml:space="preserve"> </w:t>
            </w:r>
            <w:proofErr w:type="spellStart"/>
            <w:r>
              <w:rPr>
                <w:rStyle w:val="Hyperlink"/>
              </w:rPr>
              <w:t>Commons</w:t>
            </w:r>
            <w:proofErr w:type="spellEnd"/>
            <w:r>
              <w:rPr>
                <w:rStyle w:val="Hyperlink"/>
              </w:rPr>
              <w:t xml:space="preserve"> Atribución-Compartir Igual 4.0 Internacional</w:t>
            </w:r>
          </w:hyperlink>
          <w:r>
            <w:t>. Consulte las guías de CAWST para distribuir, traducir, adaptar o citar los recursos de CAWST (</w:t>
          </w:r>
          <w:hyperlink r:id="rId2" w:history="1">
            <w:r>
              <w:rPr>
                <w:rStyle w:val="Hyperlink"/>
              </w:rPr>
              <w:t>resources.cawst.org/cc</w:t>
            </w:r>
          </w:hyperlink>
          <w:r>
            <w:t>).</w:t>
          </w:r>
        </w:p>
      </w:tc>
      <w:tc>
        <w:tcPr>
          <w:tcW w:w="1590" w:type="dxa"/>
          <w:tcMar>
            <w:top w:w="57" w:type="dxa"/>
          </w:tcMar>
          <w:vAlign w:val="center"/>
        </w:tcPr>
        <w:p w14:paraId="7E3324DA" w14:textId="77777777" w:rsidR="00FE7F58" w:rsidRPr="00FE7F58" w:rsidRDefault="00FE7F58" w:rsidP="00FE7F58">
          <w:pPr>
            <w:pStyle w:val="NoSpacing-Table"/>
            <w:jc w:val="right"/>
          </w:pPr>
          <w:r w:rsidRPr="00535AB5">
            <w:rPr>
              <w:noProof/>
            </w:rPr>
            <w:drawing>
              <wp:inline distT="0" distB="0" distL="0" distR="0" wp14:anchorId="1050780C" wp14:editId="7A1A14C3">
                <wp:extent cx="840105" cy="297815"/>
                <wp:effectExtent l="0" t="0" r="0" b="6985"/>
                <wp:docPr id="3" name="Picture 3" descr="Creative Commons Licen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ative Commons Licen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7F58" w14:paraId="2D133B00" w14:textId="77777777" w:rsidTr="00837C45">
      <w:trPr>
        <w:trHeight w:val="680"/>
      </w:trPr>
      <w:tc>
        <w:tcPr>
          <w:tcW w:w="1902" w:type="dxa"/>
          <w:vAlign w:val="bottom"/>
        </w:tcPr>
        <w:p w14:paraId="7649385E" w14:textId="77777777" w:rsidR="00FE7F58" w:rsidRDefault="00FE7F58" w:rsidP="007A328F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59B63B7" wp14:editId="454D4C74">
                <wp:extent cx="960707" cy="326571"/>
                <wp:effectExtent l="0" t="0" r="5080" b="381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cawst_logo.png"/>
                        <pic:cNvPicPr/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49" t="12587" b="15444"/>
                        <a:stretch/>
                      </pic:blipFill>
                      <pic:spPr bwMode="auto">
                        <a:xfrm>
                          <a:off x="0" y="0"/>
                          <a:ext cx="960707" cy="3265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8" w:type="dxa"/>
          <w:gridSpan w:val="2"/>
          <w:vAlign w:val="bottom"/>
        </w:tcPr>
        <w:p w14:paraId="7204613C" w14:textId="77777777" w:rsidR="00FE7F58" w:rsidRPr="007A328F" w:rsidRDefault="00FE7F58" w:rsidP="007A328F">
          <w:pPr>
            <w:pStyle w:val="Footer"/>
          </w:pPr>
          <w:r>
            <w:t xml:space="preserve">Calgary, Canadá | </w:t>
          </w:r>
          <w:hyperlink r:id="rId6" w:history="1">
            <w:r>
              <w:rPr>
                <w:rStyle w:val="Hyperlink"/>
              </w:rPr>
              <w:t>resources.cawst.org</w:t>
            </w:r>
          </w:hyperlink>
          <w:r>
            <w:t xml:space="preserve"> | </w:t>
          </w:r>
          <w:hyperlink r:id="rId7" w:history="1">
            <w:r>
              <w:rPr>
                <w:rStyle w:val="Hyperlink"/>
              </w:rPr>
              <w:t>support@cawst.org</w:t>
            </w:r>
          </w:hyperlink>
        </w:p>
      </w:tc>
    </w:tr>
  </w:tbl>
  <w:p w14:paraId="55CB40BF" w14:textId="77777777" w:rsidR="00353B84" w:rsidRDefault="00353B84" w:rsidP="007A328F">
    <w:pPr>
      <w:pStyle w:val="Table-AfterParagraphInvisibilit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217D6" w14:textId="77777777" w:rsidR="00AE547A" w:rsidRDefault="00AE547A" w:rsidP="00510EBB">
      <w:r>
        <w:separator/>
      </w:r>
    </w:p>
  </w:footnote>
  <w:footnote w:type="continuationSeparator" w:id="0">
    <w:p w14:paraId="4BFD91AD" w14:textId="77777777" w:rsidR="00AE547A" w:rsidRDefault="00AE547A" w:rsidP="0051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B9714" w14:textId="27B4F590" w:rsidR="000B537F" w:rsidRPr="004746FE" w:rsidRDefault="00BA5893" w:rsidP="00BA5893">
    <w:pPr>
      <w:pStyle w:val="Header"/>
      <w:rPr>
        <w:sz w:val="18"/>
      </w:rPr>
    </w:pPr>
    <w:r w:rsidRPr="004746FE">
      <w:rPr>
        <w:sz w:val="18"/>
      </w:rPr>
      <w:t>Hoja informativa sobre el tratamiento del agua a nivel domiciliario y su almacenamiento seguro | Última actualización: marzo de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BCC7E" w14:textId="77777777" w:rsidR="00FC0B37" w:rsidRPr="00FC0B37" w:rsidRDefault="00FC0B37" w:rsidP="00FC0B37">
    <w:pPr>
      <w:pStyle w:val="Header"/>
    </w:pPr>
    <w:r>
      <w:t>Tratamiento del agua a nivel domiciliario y su almacenamiento seguro - Resumen de tecnologías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4E5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DEE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7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FC08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F6A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4C8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40E1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6AAC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DCB5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2389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956F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81D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C95857"/>
    <w:multiLevelType w:val="hybridMultilevel"/>
    <w:tmpl w:val="76D2BDD0"/>
    <w:lvl w:ilvl="0" w:tplc="10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07CD00D0"/>
    <w:multiLevelType w:val="multilevel"/>
    <w:tmpl w:val="180627D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604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CE01AC"/>
    <w:multiLevelType w:val="multilevel"/>
    <w:tmpl w:val="F8045B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 w:val="0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26352"/>
    <w:multiLevelType w:val="hybridMultilevel"/>
    <w:tmpl w:val="E24E83E0"/>
    <w:lvl w:ilvl="0" w:tplc="88780E8E">
      <w:start w:val="1"/>
      <w:numFmt w:val="decimal"/>
      <w:pStyle w:val="Numberedlist"/>
      <w:lvlText w:val="%1."/>
      <w:lvlJc w:val="left"/>
      <w:pPr>
        <w:ind w:left="757" w:hanging="360"/>
      </w:pPr>
      <w:rPr>
        <w:rFonts w:hint="default"/>
        <w:b/>
        <w:bCs/>
        <w:i w:val="0"/>
        <w:iCs w:val="0"/>
        <w:color w:val="0BA3D4" w:themeColor="background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66BCC"/>
    <w:multiLevelType w:val="multilevel"/>
    <w:tmpl w:val="C158D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CFF6132"/>
    <w:multiLevelType w:val="multilevel"/>
    <w:tmpl w:val="45BCAA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B1A84"/>
    <w:multiLevelType w:val="hybridMultilevel"/>
    <w:tmpl w:val="EC04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42110"/>
    <w:multiLevelType w:val="multilevel"/>
    <w:tmpl w:val="C158D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82E41BF"/>
    <w:multiLevelType w:val="multilevel"/>
    <w:tmpl w:val="ADCCFB68"/>
    <w:lvl w:ilvl="0">
      <w:start w:val="1"/>
      <w:numFmt w:val="bullet"/>
      <w:lvlText w:val=""/>
      <w:lvlJc w:val="left"/>
      <w:pPr>
        <w:tabs>
          <w:tab w:val="num" w:pos="624"/>
        </w:tabs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E0D93"/>
    <w:multiLevelType w:val="multilevel"/>
    <w:tmpl w:val="4972EE9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21E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9F2C57"/>
    <w:multiLevelType w:val="hybridMultilevel"/>
    <w:tmpl w:val="87683658"/>
    <w:lvl w:ilvl="0" w:tplc="2170401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56F2D"/>
    <w:multiLevelType w:val="multilevel"/>
    <w:tmpl w:val="A34C1E56"/>
    <w:lvl w:ilvl="0">
      <w:start w:val="1"/>
      <w:numFmt w:val="bullet"/>
      <w:lvlText w:val=""/>
      <w:lvlJc w:val="left"/>
      <w:pPr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0488E"/>
    <w:multiLevelType w:val="hybridMultilevel"/>
    <w:tmpl w:val="5B08C5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A1E5E"/>
    <w:multiLevelType w:val="multilevel"/>
    <w:tmpl w:val="C4CC4F94"/>
    <w:lvl w:ilvl="0">
      <w:start w:val="1"/>
      <w:numFmt w:val="bullet"/>
      <w:lvlText w:val=""/>
      <w:lvlJc w:val="left"/>
      <w:pPr>
        <w:tabs>
          <w:tab w:val="num" w:pos="624"/>
        </w:tabs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F0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992368E"/>
    <w:multiLevelType w:val="multilevel"/>
    <w:tmpl w:val="CD3E43F6"/>
    <w:lvl w:ilvl="0">
      <w:start w:val="1"/>
      <w:numFmt w:val="decimal"/>
      <w:lvlText w:val="%1."/>
      <w:lvlJc w:val="left"/>
      <w:pPr>
        <w:ind w:left="794" w:hanging="227"/>
      </w:pPr>
      <w:rPr>
        <w:rFonts w:hint="default"/>
        <w:b/>
        <w:bCs/>
        <w:i w:val="0"/>
        <w:iCs w:val="0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5"/>
  </w:num>
  <w:num w:numId="5">
    <w:abstractNumId w:val="22"/>
  </w:num>
  <w:num w:numId="6">
    <w:abstractNumId w:val="12"/>
  </w:num>
  <w:num w:numId="7">
    <w:abstractNumId w:val="21"/>
  </w:num>
  <w:num w:numId="8">
    <w:abstractNumId w:val="27"/>
  </w:num>
  <w:num w:numId="9">
    <w:abstractNumId w:val="24"/>
  </w:num>
  <w:num w:numId="10">
    <w:abstractNumId w:val="15"/>
  </w:num>
  <w:num w:numId="11">
    <w:abstractNumId w:val="29"/>
  </w:num>
  <w:num w:numId="12">
    <w:abstractNumId w:val="0"/>
  </w:num>
  <w:num w:numId="13">
    <w:abstractNumId w:val="19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10"/>
  </w:num>
  <w:num w:numId="24">
    <w:abstractNumId w:val="26"/>
  </w:num>
  <w:num w:numId="25">
    <w:abstractNumId w:val="20"/>
  </w:num>
  <w:num w:numId="26">
    <w:abstractNumId w:val="23"/>
  </w:num>
  <w:num w:numId="27">
    <w:abstractNumId w:val="14"/>
  </w:num>
  <w:num w:numId="28">
    <w:abstractNumId w:val="17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AR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73"/>
    <w:rsid w:val="00001F77"/>
    <w:rsid w:val="0000349D"/>
    <w:rsid w:val="0000632D"/>
    <w:rsid w:val="000250E0"/>
    <w:rsid w:val="000465CE"/>
    <w:rsid w:val="00086E6B"/>
    <w:rsid w:val="00092967"/>
    <w:rsid w:val="000B33C2"/>
    <w:rsid w:val="000B36AE"/>
    <w:rsid w:val="000B537F"/>
    <w:rsid w:val="000C4E47"/>
    <w:rsid w:val="000F79D9"/>
    <w:rsid w:val="001106B5"/>
    <w:rsid w:val="00120ED8"/>
    <w:rsid w:val="00121E61"/>
    <w:rsid w:val="00122376"/>
    <w:rsid w:val="0012462F"/>
    <w:rsid w:val="00126AA8"/>
    <w:rsid w:val="001432FE"/>
    <w:rsid w:val="001625DE"/>
    <w:rsid w:val="00163EEA"/>
    <w:rsid w:val="00166D7F"/>
    <w:rsid w:val="001759D6"/>
    <w:rsid w:val="00190624"/>
    <w:rsid w:val="001B15DC"/>
    <w:rsid w:val="001C4A07"/>
    <w:rsid w:val="001C5C68"/>
    <w:rsid w:val="001D3FAF"/>
    <w:rsid w:val="001D449C"/>
    <w:rsid w:val="001E0441"/>
    <w:rsid w:val="001F09BD"/>
    <w:rsid w:val="00202444"/>
    <w:rsid w:val="00203CB5"/>
    <w:rsid w:val="00226E08"/>
    <w:rsid w:val="00235C6C"/>
    <w:rsid w:val="00236D2F"/>
    <w:rsid w:val="00250F82"/>
    <w:rsid w:val="00252508"/>
    <w:rsid w:val="002605EA"/>
    <w:rsid w:val="002607FF"/>
    <w:rsid w:val="00261923"/>
    <w:rsid w:val="00270EFC"/>
    <w:rsid w:val="00280E15"/>
    <w:rsid w:val="00281503"/>
    <w:rsid w:val="00285CB6"/>
    <w:rsid w:val="002A3BA4"/>
    <w:rsid w:val="002B1538"/>
    <w:rsid w:val="002B34D5"/>
    <w:rsid w:val="002D6DC8"/>
    <w:rsid w:val="002E27F8"/>
    <w:rsid w:val="002E39FF"/>
    <w:rsid w:val="002F0588"/>
    <w:rsid w:val="002F18C6"/>
    <w:rsid w:val="002F562E"/>
    <w:rsid w:val="00307962"/>
    <w:rsid w:val="003125F4"/>
    <w:rsid w:val="00313B79"/>
    <w:rsid w:val="003239C4"/>
    <w:rsid w:val="00326D5D"/>
    <w:rsid w:val="0032798F"/>
    <w:rsid w:val="003361F6"/>
    <w:rsid w:val="00336873"/>
    <w:rsid w:val="00340EEC"/>
    <w:rsid w:val="00343453"/>
    <w:rsid w:val="00345C5E"/>
    <w:rsid w:val="003471BA"/>
    <w:rsid w:val="00353B84"/>
    <w:rsid w:val="003634A1"/>
    <w:rsid w:val="00376F79"/>
    <w:rsid w:val="003858E9"/>
    <w:rsid w:val="003947A0"/>
    <w:rsid w:val="003B0DAD"/>
    <w:rsid w:val="003C1855"/>
    <w:rsid w:val="003C3972"/>
    <w:rsid w:val="003C4AD3"/>
    <w:rsid w:val="003D5414"/>
    <w:rsid w:val="003E2A3A"/>
    <w:rsid w:val="003E57B8"/>
    <w:rsid w:val="004132B1"/>
    <w:rsid w:val="00423C81"/>
    <w:rsid w:val="00453773"/>
    <w:rsid w:val="004611E4"/>
    <w:rsid w:val="00471994"/>
    <w:rsid w:val="004746FE"/>
    <w:rsid w:val="004872B2"/>
    <w:rsid w:val="0049451E"/>
    <w:rsid w:val="004B1945"/>
    <w:rsid w:val="004B50D8"/>
    <w:rsid w:val="004B7881"/>
    <w:rsid w:val="004C3429"/>
    <w:rsid w:val="004D4508"/>
    <w:rsid w:val="004D674B"/>
    <w:rsid w:val="004F7F29"/>
    <w:rsid w:val="00510EBB"/>
    <w:rsid w:val="00521C57"/>
    <w:rsid w:val="00523F7A"/>
    <w:rsid w:val="00533BA4"/>
    <w:rsid w:val="00534CA9"/>
    <w:rsid w:val="00535AB5"/>
    <w:rsid w:val="005477F0"/>
    <w:rsid w:val="00574499"/>
    <w:rsid w:val="005826C0"/>
    <w:rsid w:val="005921AD"/>
    <w:rsid w:val="005960CC"/>
    <w:rsid w:val="005A3D65"/>
    <w:rsid w:val="005A4AA7"/>
    <w:rsid w:val="005A7737"/>
    <w:rsid w:val="005B2FBC"/>
    <w:rsid w:val="005C659E"/>
    <w:rsid w:val="005E26C3"/>
    <w:rsid w:val="005E6FA5"/>
    <w:rsid w:val="005F2A04"/>
    <w:rsid w:val="005F62FB"/>
    <w:rsid w:val="006034E6"/>
    <w:rsid w:val="00605FB9"/>
    <w:rsid w:val="00612A8A"/>
    <w:rsid w:val="00616773"/>
    <w:rsid w:val="0062399F"/>
    <w:rsid w:val="00623D4E"/>
    <w:rsid w:val="006246DB"/>
    <w:rsid w:val="00630811"/>
    <w:rsid w:val="006320FF"/>
    <w:rsid w:val="00637110"/>
    <w:rsid w:val="00644996"/>
    <w:rsid w:val="00645316"/>
    <w:rsid w:val="0065457A"/>
    <w:rsid w:val="00667A79"/>
    <w:rsid w:val="00691E08"/>
    <w:rsid w:val="00695694"/>
    <w:rsid w:val="006C3B27"/>
    <w:rsid w:val="006D24D4"/>
    <w:rsid w:val="006E5A14"/>
    <w:rsid w:val="007031BD"/>
    <w:rsid w:val="00706A88"/>
    <w:rsid w:val="0071380E"/>
    <w:rsid w:val="00715DB7"/>
    <w:rsid w:val="00720548"/>
    <w:rsid w:val="00751445"/>
    <w:rsid w:val="0077622C"/>
    <w:rsid w:val="00780E43"/>
    <w:rsid w:val="0078219E"/>
    <w:rsid w:val="007864E7"/>
    <w:rsid w:val="00795718"/>
    <w:rsid w:val="007A328F"/>
    <w:rsid w:val="007B7124"/>
    <w:rsid w:val="007C12F3"/>
    <w:rsid w:val="007C3581"/>
    <w:rsid w:val="007C3BBE"/>
    <w:rsid w:val="007D69A5"/>
    <w:rsid w:val="008029BD"/>
    <w:rsid w:val="00825E09"/>
    <w:rsid w:val="00827624"/>
    <w:rsid w:val="00837C45"/>
    <w:rsid w:val="00850240"/>
    <w:rsid w:val="008575A6"/>
    <w:rsid w:val="00865422"/>
    <w:rsid w:val="008838D5"/>
    <w:rsid w:val="0088390A"/>
    <w:rsid w:val="008844F3"/>
    <w:rsid w:val="008850B2"/>
    <w:rsid w:val="00886D88"/>
    <w:rsid w:val="008A7998"/>
    <w:rsid w:val="008B221E"/>
    <w:rsid w:val="008C6462"/>
    <w:rsid w:val="008C6DB3"/>
    <w:rsid w:val="008F0AEE"/>
    <w:rsid w:val="008F6FCB"/>
    <w:rsid w:val="0091776C"/>
    <w:rsid w:val="00923341"/>
    <w:rsid w:val="0093385B"/>
    <w:rsid w:val="009355DE"/>
    <w:rsid w:val="00953408"/>
    <w:rsid w:val="0096430D"/>
    <w:rsid w:val="009905F7"/>
    <w:rsid w:val="0099729C"/>
    <w:rsid w:val="009A53AD"/>
    <w:rsid w:val="009B00DE"/>
    <w:rsid w:val="009B0821"/>
    <w:rsid w:val="009C4189"/>
    <w:rsid w:val="009C458F"/>
    <w:rsid w:val="009D452E"/>
    <w:rsid w:val="009D6BEC"/>
    <w:rsid w:val="009E32CF"/>
    <w:rsid w:val="009E4497"/>
    <w:rsid w:val="009E6172"/>
    <w:rsid w:val="009E6447"/>
    <w:rsid w:val="00A07F44"/>
    <w:rsid w:val="00A31582"/>
    <w:rsid w:val="00A3549E"/>
    <w:rsid w:val="00A40173"/>
    <w:rsid w:val="00A4205E"/>
    <w:rsid w:val="00A44AD4"/>
    <w:rsid w:val="00A45B29"/>
    <w:rsid w:val="00A53254"/>
    <w:rsid w:val="00A71226"/>
    <w:rsid w:val="00A87D89"/>
    <w:rsid w:val="00A937B9"/>
    <w:rsid w:val="00A960BC"/>
    <w:rsid w:val="00AA1CCE"/>
    <w:rsid w:val="00AB2AE8"/>
    <w:rsid w:val="00AB2D37"/>
    <w:rsid w:val="00AC2412"/>
    <w:rsid w:val="00AE29FC"/>
    <w:rsid w:val="00AE547A"/>
    <w:rsid w:val="00AF2200"/>
    <w:rsid w:val="00AF7DA7"/>
    <w:rsid w:val="00B2197D"/>
    <w:rsid w:val="00B222BA"/>
    <w:rsid w:val="00B25AEF"/>
    <w:rsid w:val="00B365C1"/>
    <w:rsid w:val="00B82B38"/>
    <w:rsid w:val="00B842B1"/>
    <w:rsid w:val="00B84753"/>
    <w:rsid w:val="00B9083E"/>
    <w:rsid w:val="00B95325"/>
    <w:rsid w:val="00B9649E"/>
    <w:rsid w:val="00BA02BC"/>
    <w:rsid w:val="00BA0EAB"/>
    <w:rsid w:val="00BA330B"/>
    <w:rsid w:val="00BA5893"/>
    <w:rsid w:val="00BC4D1B"/>
    <w:rsid w:val="00BC7ABA"/>
    <w:rsid w:val="00BD73B8"/>
    <w:rsid w:val="00C01012"/>
    <w:rsid w:val="00C03318"/>
    <w:rsid w:val="00C27860"/>
    <w:rsid w:val="00C4582D"/>
    <w:rsid w:val="00C601D0"/>
    <w:rsid w:val="00C77462"/>
    <w:rsid w:val="00C87438"/>
    <w:rsid w:val="00C915D7"/>
    <w:rsid w:val="00CD413B"/>
    <w:rsid w:val="00CD6078"/>
    <w:rsid w:val="00CF68E8"/>
    <w:rsid w:val="00D01E85"/>
    <w:rsid w:val="00D041AD"/>
    <w:rsid w:val="00D05C8D"/>
    <w:rsid w:val="00D1044B"/>
    <w:rsid w:val="00D12CE0"/>
    <w:rsid w:val="00D165DA"/>
    <w:rsid w:val="00D338CE"/>
    <w:rsid w:val="00D40A5D"/>
    <w:rsid w:val="00D437DB"/>
    <w:rsid w:val="00D55F50"/>
    <w:rsid w:val="00D73085"/>
    <w:rsid w:val="00D84377"/>
    <w:rsid w:val="00D85ECD"/>
    <w:rsid w:val="00D96165"/>
    <w:rsid w:val="00DA0006"/>
    <w:rsid w:val="00DA7003"/>
    <w:rsid w:val="00DC6216"/>
    <w:rsid w:val="00DE2D96"/>
    <w:rsid w:val="00DF45CF"/>
    <w:rsid w:val="00E05780"/>
    <w:rsid w:val="00E21494"/>
    <w:rsid w:val="00E400D5"/>
    <w:rsid w:val="00E54B55"/>
    <w:rsid w:val="00E5602B"/>
    <w:rsid w:val="00E60744"/>
    <w:rsid w:val="00E81B98"/>
    <w:rsid w:val="00E94755"/>
    <w:rsid w:val="00E94DB4"/>
    <w:rsid w:val="00EA1320"/>
    <w:rsid w:val="00EA1DE2"/>
    <w:rsid w:val="00EA3F36"/>
    <w:rsid w:val="00EB032A"/>
    <w:rsid w:val="00EB0679"/>
    <w:rsid w:val="00EB1D4D"/>
    <w:rsid w:val="00EC6060"/>
    <w:rsid w:val="00EE44ED"/>
    <w:rsid w:val="00EE77C9"/>
    <w:rsid w:val="00EF1932"/>
    <w:rsid w:val="00EF28BF"/>
    <w:rsid w:val="00F05BFD"/>
    <w:rsid w:val="00F14F8B"/>
    <w:rsid w:val="00F27918"/>
    <w:rsid w:val="00F33D12"/>
    <w:rsid w:val="00F33DDE"/>
    <w:rsid w:val="00F35215"/>
    <w:rsid w:val="00F71475"/>
    <w:rsid w:val="00F7354A"/>
    <w:rsid w:val="00F9080F"/>
    <w:rsid w:val="00F93C72"/>
    <w:rsid w:val="00FB7F82"/>
    <w:rsid w:val="00FC0B37"/>
    <w:rsid w:val="00FD61C9"/>
    <w:rsid w:val="00FD61E6"/>
    <w:rsid w:val="00FE05FF"/>
    <w:rsid w:val="00FE612E"/>
    <w:rsid w:val="00FE7F58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7CCA2C"/>
  <w14:defaultImageDpi w14:val="330"/>
  <w15:docId w15:val="{0BD89C3A-2D4C-4F2E-8382-171CD91F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D4D"/>
    <w:pPr>
      <w:spacing w:after="120"/>
    </w:pPr>
    <w:rPr>
      <w:rFonts w:ascii="Calibri" w:hAnsi="Calibri"/>
      <w:color w:val="404040" w:themeColor="text1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7F58"/>
    <w:pPr>
      <w:pBdr>
        <w:top w:val="single" w:sz="12" w:space="1" w:color="D9D9D9" w:themeColor="background1" w:themeShade="D9"/>
      </w:pBdr>
      <w:spacing w:before="60" w:after="0"/>
      <w:jc w:val="both"/>
      <w:outlineLvl w:val="0"/>
    </w:pPr>
    <w:rPr>
      <w:rFonts w:eastAsia="Times New Roman" w:cs="Times New Roman"/>
      <w:bCs/>
      <w:color w:val="0BA3D4" w:themeColor="background2" w:themeShade="BF"/>
      <w:spacing w:val="-5"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C77462"/>
    <w:pPr>
      <w:spacing w:before="120" w:after="0"/>
      <w:outlineLvl w:val="1"/>
    </w:pPr>
    <w:rPr>
      <w:rFonts w:eastAsia="Times New Roman" w:cs="Times New Roman"/>
      <w:b/>
      <w:bCs/>
      <w:spacing w:val="-5"/>
    </w:rPr>
  </w:style>
  <w:style w:type="paragraph" w:styleId="Heading3">
    <w:name w:val="heading 3"/>
    <w:basedOn w:val="Normal"/>
    <w:next w:val="Normal"/>
    <w:link w:val="Heading3Char"/>
    <w:uiPriority w:val="2"/>
    <w:qFormat/>
    <w:rsid w:val="00A45B29"/>
    <w:pPr>
      <w:spacing w:before="240" w:after="60"/>
      <w:outlineLvl w:val="2"/>
    </w:pPr>
    <w:rPr>
      <w:rFonts w:cstheme="minorHAns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80E"/>
    <w:pPr>
      <w:keepNext/>
      <w:keepLines/>
      <w:numPr>
        <w:ilvl w:val="3"/>
        <w:numId w:val="25"/>
      </w:numPr>
      <w:spacing w:before="40" w:after="0"/>
      <w:outlineLvl w:val="3"/>
    </w:pPr>
    <w:rPr>
      <w:rFonts w:eastAsiaTheme="majorEastAsia" w:cstheme="majorBidi"/>
      <w:i/>
      <w:iCs/>
      <w:color w:val="206F8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80E"/>
    <w:pPr>
      <w:keepNext/>
      <w:keepLines/>
      <w:numPr>
        <w:ilvl w:val="4"/>
        <w:numId w:val="25"/>
      </w:numPr>
      <w:spacing w:before="40" w:after="0"/>
      <w:outlineLvl w:val="4"/>
    </w:pPr>
    <w:rPr>
      <w:rFonts w:eastAsiaTheme="majorEastAsia" w:cstheme="majorBidi"/>
      <w:color w:val="206F8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80E"/>
    <w:pPr>
      <w:keepNext/>
      <w:keepLines/>
      <w:numPr>
        <w:ilvl w:val="5"/>
        <w:numId w:val="25"/>
      </w:numPr>
      <w:spacing w:before="40" w:after="0"/>
      <w:outlineLvl w:val="5"/>
    </w:pPr>
    <w:rPr>
      <w:rFonts w:eastAsiaTheme="majorEastAsia" w:cstheme="majorBidi"/>
      <w:color w:val="1549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80E"/>
    <w:pPr>
      <w:keepNext/>
      <w:keepLines/>
      <w:numPr>
        <w:ilvl w:val="6"/>
        <w:numId w:val="25"/>
      </w:numPr>
      <w:spacing w:before="40" w:after="0"/>
      <w:outlineLvl w:val="6"/>
    </w:pPr>
    <w:rPr>
      <w:rFonts w:eastAsiaTheme="majorEastAsia" w:cstheme="majorBidi"/>
      <w:i/>
      <w:iCs/>
      <w:color w:val="1549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80E"/>
    <w:pPr>
      <w:keepNext/>
      <w:keepLines/>
      <w:numPr>
        <w:ilvl w:val="7"/>
        <w:numId w:val="25"/>
      </w:numPr>
      <w:spacing w:before="40" w:after="0"/>
      <w:outlineLvl w:val="7"/>
    </w:pPr>
    <w:rPr>
      <w:rFonts w:eastAsiaTheme="majorEastAsia" w:cstheme="majorBidi"/>
      <w:color w:val="5D5D5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80E"/>
    <w:pPr>
      <w:keepNext/>
      <w:keepLines/>
      <w:numPr>
        <w:ilvl w:val="8"/>
        <w:numId w:val="25"/>
      </w:numPr>
      <w:spacing w:before="40" w:after="0"/>
      <w:outlineLvl w:val="8"/>
    </w:pPr>
    <w:rPr>
      <w:rFonts w:eastAsiaTheme="majorEastAsia" w:cstheme="majorBidi"/>
      <w:i/>
      <w:iCs/>
      <w:color w:val="5D5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F36"/>
    <w:pPr>
      <w:tabs>
        <w:tab w:val="center" w:pos="4320"/>
        <w:tab w:val="right" w:pos="8640"/>
      </w:tabs>
      <w:spacing w:after="0"/>
      <w:jc w:val="right"/>
    </w:pPr>
    <w:rPr>
      <w:color w:val="808080" w:themeColor="background1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EA3F36"/>
    <w:rPr>
      <w:rFonts w:ascii="Calibri" w:hAnsi="Calibri"/>
      <w:color w:val="808080" w:themeColor="background1" w:themeShade="80"/>
      <w:szCs w:val="20"/>
      <w:lang w:val="es-AR"/>
    </w:rPr>
  </w:style>
  <w:style w:type="paragraph" w:styleId="Footer">
    <w:name w:val="footer"/>
    <w:basedOn w:val="Header"/>
    <w:link w:val="FooterChar"/>
    <w:uiPriority w:val="99"/>
    <w:unhideWhenUsed/>
    <w:rsid w:val="007A328F"/>
  </w:style>
  <w:style w:type="character" w:customStyle="1" w:styleId="FooterChar">
    <w:name w:val="Footer Char"/>
    <w:basedOn w:val="DefaultParagraphFont"/>
    <w:link w:val="Footer"/>
    <w:uiPriority w:val="99"/>
    <w:rsid w:val="007A328F"/>
    <w:rPr>
      <w:rFonts w:ascii="Calibri" w:hAnsi="Calibri"/>
      <w:color w:val="808080" w:themeColor="background1" w:themeShade="80"/>
      <w:sz w:val="22"/>
      <w:szCs w:val="20"/>
      <w:lang w:val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6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C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376F79"/>
    <w:rPr>
      <w:color w:val="0BA3D4" w:themeColor="background2" w:themeShade="B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32A"/>
    <w:rPr>
      <w:color w:val="2B95B8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2"/>
    <w:rsid w:val="00FE7F58"/>
    <w:rPr>
      <w:rFonts w:ascii="Calibri" w:eastAsia="Times New Roman" w:hAnsi="Calibri" w:cs="Times New Roman"/>
      <w:bCs/>
      <w:color w:val="0BA3D4" w:themeColor="background2" w:themeShade="BF"/>
      <w:spacing w:val="-5"/>
      <w:sz w:val="28"/>
      <w:szCs w:val="20"/>
      <w:lang w:val="es-AR"/>
    </w:rPr>
  </w:style>
  <w:style w:type="paragraph" w:customStyle="1" w:styleId="InsideAddress">
    <w:name w:val="Inside Address"/>
    <w:basedOn w:val="Normal"/>
    <w:uiPriority w:val="6"/>
    <w:unhideWhenUsed/>
    <w:rsid w:val="00510EBB"/>
    <w:pPr>
      <w:spacing w:line="220" w:lineRule="atLeast"/>
      <w:jc w:val="both"/>
    </w:pPr>
    <w:rPr>
      <w:rFonts w:ascii="Arial" w:eastAsia="Times New Roman" w:hAnsi="Arial" w:cs="Times New Roman"/>
      <w:spacing w:val="-5"/>
    </w:rPr>
  </w:style>
  <w:style w:type="paragraph" w:styleId="Title">
    <w:name w:val="Title"/>
    <w:basedOn w:val="Normal"/>
    <w:next w:val="Normal"/>
    <w:link w:val="TitleChar"/>
    <w:uiPriority w:val="1"/>
    <w:qFormat/>
    <w:rsid w:val="00EB0679"/>
    <w:pPr>
      <w:spacing w:after="0"/>
      <w:ind w:right="-374"/>
    </w:pPr>
    <w:rPr>
      <w:rFonts w:eastAsiaTheme="majorEastAsia" w:cs="Calibri"/>
      <w:color w:val="005478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EB0679"/>
    <w:rPr>
      <w:rFonts w:ascii="Calibri" w:eastAsiaTheme="majorEastAsia" w:hAnsi="Calibri" w:cs="Calibri"/>
      <w:color w:val="005478"/>
      <w:spacing w:val="5"/>
      <w:kern w:val="28"/>
      <w:sz w:val="48"/>
      <w:szCs w:val="48"/>
      <w:lang w:val="es-AR"/>
    </w:rPr>
  </w:style>
  <w:style w:type="character" w:customStyle="1" w:styleId="Heading3Char">
    <w:name w:val="Heading 3 Char"/>
    <w:basedOn w:val="DefaultParagraphFont"/>
    <w:link w:val="Heading3"/>
    <w:uiPriority w:val="2"/>
    <w:rsid w:val="006320FF"/>
    <w:rPr>
      <w:rFonts w:ascii="Calibri" w:hAnsi="Calibri" w:cstheme="minorHAnsi"/>
      <w:b/>
      <w:color w:val="404040" w:themeColor="text1"/>
      <w:szCs w:val="20"/>
      <w:lang w:val="es-AR"/>
    </w:rPr>
  </w:style>
  <w:style w:type="paragraph" w:customStyle="1" w:styleId="Footer1">
    <w:name w:val="Footer1"/>
    <w:basedOn w:val="Normal"/>
    <w:uiPriority w:val="8"/>
    <w:unhideWhenUsed/>
    <w:qFormat/>
    <w:rsid w:val="00DC6216"/>
    <w:pPr>
      <w:spacing w:line="200" w:lineRule="exact"/>
      <w:jc w:val="center"/>
    </w:pPr>
    <w:rPr>
      <w:sz w:val="16"/>
      <w:szCs w:val="16"/>
      <w:shd w:val="clear" w:color="auto" w:fill="FFFFFF"/>
    </w:rPr>
  </w:style>
  <w:style w:type="paragraph" w:customStyle="1" w:styleId="PullQuote1">
    <w:name w:val="Pull Quote 1"/>
    <w:basedOn w:val="Normal"/>
    <w:uiPriority w:val="5"/>
    <w:qFormat/>
    <w:rsid w:val="00605FB9"/>
    <w:pPr>
      <w:framePr w:hSpace="181" w:vSpace="181" w:wrap="around" w:vAnchor="text" w:hAnchor="text" w:y="1"/>
      <w:tabs>
        <w:tab w:val="left" w:pos="567"/>
      </w:tabs>
    </w:pPr>
    <w:rPr>
      <w:rFonts w:cstheme="minorHAnsi"/>
      <w:color w:val="FFFFFF" w:themeColor="background1"/>
      <w:szCs w:val="26"/>
    </w:rPr>
  </w:style>
  <w:style w:type="paragraph" w:customStyle="1" w:styleId="Bullets">
    <w:name w:val="Bullets"/>
    <w:basedOn w:val="Normal"/>
    <w:uiPriority w:val="4"/>
    <w:qFormat/>
    <w:rsid w:val="002E27F8"/>
    <w:pPr>
      <w:numPr>
        <w:numId w:val="9"/>
      </w:numPr>
      <w:spacing w:before="60"/>
    </w:pPr>
    <w:rPr>
      <w:rFonts w:cstheme="minorHAnsi"/>
    </w:rPr>
  </w:style>
  <w:style w:type="paragraph" w:styleId="TOCHeading">
    <w:name w:val="TOC Heading"/>
    <w:basedOn w:val="Normal"/>
    <w:next w:val="Normal"/>
    <w:uiPriority w:val="39"/>
    <w:unhideWhenUsed/>
    <w:qFormat/>
    <w:rsid w:val="002E27F8"/>
    <w:pPr>
      <w:keepNext/>
      <w:keepLines/>
      <w:spacing w:before="480" w:after="0" w:line="276" w:lineRule="auto"/>
    </w:pPr>
    <w:rPr>
      <w:rFonts w:eastAsiaTheme="majorEastAsia" w:cstheme="majorBidi"/>
      <w:bCs/>
      <w:caps/>
      <w:color w:val="0BA3D4" w:themeColor="background2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C77462"/>
    <w:rPr>
      <w:rFonts w:ascii="Calibri" w:eastAsia="Times New Roman" w:hAnsi="Calibri" w:cs="Times New Roman"/>
      <w:b/>
      <w:bCs/>
      <w:color w:val="404040" w:themeColor="text1"/>
      <w:spacing w:val="-5"/>
      <w:sz w:val="22"/>
      <w:szCs w:val="20"/>
      <w:lang w:val="es-AR"/>
    </w:rPr>
  </w:style>
  <w:style w:type="paragraph" w:customStyle="1" w:styleId="AlternateFact">
    <w:name w:val="Alternate Fact"/>
    <w:basedOn w:val="Normal"/>
    <w:uiPriority w:val="3"/>
    <w:qFormat/>
    <w:rsid w:val="00D84377"/>
    <w:rPr>
      <w:i/>
      <w:sz w:val="28"/>
    </w:rPr>
  </w:style>
  <w:style w:type="character" w:styleId="SubtleEmphasis">
    <w:name w:val="Subtle Emphasis"/>
    <w:aliases w:val="Photo Credit"/>
    <w:basedOn w:val="DefaultParagraphFont"/>
    <w:uiPriority w:val="19"/>
    <w:unhideWhenUsed/>
    <w:qFormat/>
    <w:rsid w:val="009E32CF"/>
    <w:rPr>
      <w:rFonts w:ascii="Calibri" w:hAnsi="Calibri"/>
      <w:b w:val="0"/>
      <w:i w:val="0"/>
      <w:iCs/>
      <w:color w:val="828282" w:themeColor="text1" w:themeTint="A6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B34D5"/>
    <w:rPr>
      <w:rFonts w:ascii="Calibri" w:hAnsi="Calibri"/>
      <w:color w:val="404040" w:themeColor="text1"/>
      <w:sz w:val="22"/>
      <w:szCs w:val="20"/>
    </w:rPr>
  </w:style>
  <w:style w:type="paragraph" w:customStyle="1" w:styleId="Numberedlist">
    <w:name w:val="Numbered list"/>
    <w:basedOn w:val="Bullets"/>
    <w:uiPriority w:val="4"/>
    <w:qFormat/>
    <w:rsid w:val="002E27F8"/>
    <w:pPr>
      <w:numPr>
        <w:numId w:val="1"/>
      </w:numPr>
    </w:pPr>
  </w:style>
  <w:style w:type="paragraph" w:customStyle="1" w:styleId="PullQuote2">
    <w:name w:val="Pull Quote 2"/>
    <w:basedOn w:val="PullQuote1"/>
    <w:uiPriority w:val="5"/>
    <w:qFormat/>
    <w:rsid w:val="007D69A5"/>
    <w:pPr>
      <w:framePr w:wrap="around"/>
      <w:spacing w:line="480" w:lineRule="exact"/>
    </w:pPr>
    <w:rPr>
      <w:b/>
      <w:sz w:val="40"/>
    </w:rPr>
  </w:style>
  <w:style w:type="paragraph" w:customStyle="1" w:styleId="Sidebar">
    <w:name w:val="Sidebar"/>
    <w:basedOn w:val="PullQuote2"/>
    <w:uiPriority w:val="5"/>
    <w:unhideWhenUsed/>
    <w:qFormat/>
    <w:rsid w:val="00226E08"/>
    <w:pPr>
      <w:framePr w:wrap="around"/>
      <w:spacing w:line="320" w:lineRule="exact"/>
    </w:pPr>
    <w:rPr>
      <w:b w:val="0"/>
      <w:color w:val="073A53"/>
      <w:sz w:val="22"/>
    </w:rPr>
  </w:style>
  <w:style w:type="paragraph" w:styleId="ListParagraph">
    <w:name w:val="List Paragraph"/>
    <w:basedOn w:val="Bullets"/>
    <w:uiPriority w:val="34"/>
    <w:unhideWhenUsed/>
    <w:qFormat/>
    <w:rsid w:val="007031BD"/>
    <w:pPr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947A0"/>
    <w:pPr>
      <w:spacing w:before="120" w:after="0"/>
      <w:ind w:left="51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B82B38"/>
    <w:pPr>
      <w:spacing w:before="240" w:after="0"/>
    </w:pPr>
    <w:rPr>
      <w:b/>
      <w:bCs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947A0"/>
    <w:pPr>
      <w:spacing w:after="0"/>
      <w:ind w:left="68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D6078"/>
    <w:pPr>
      <w:spacing w:after="0"/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D6078"/>
    <w:pPr>
      <w:spacing w:after="0"/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D6078"/>
    <w:pPr>
      <w:spacing w:after="0"/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D6078"/>
    <w:pPr>
      <w:spacing w:after="0"/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D6078"/>
    <w:pPr>
      <w:spacing w:after="0"/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D6078"/>
    <w:pPr>
      <w:spacing w:after="0"/>
      <w:ind w:left="1920"/>
    </w:pPr>
    <w:rPr>
      <w:rFonts w:asciiTheme="minorHAnsi" w:hAnsiTheme="minorHAnsi"/>
      <w:sz w:val="20"/>
    </w:rPr>
  </w:style>
  <w:style w:type="table" w:styleId="TableGrid">
    <w:name w:val="Table Grid"/>
    <w:basedOn w:val="TableNormal"/>
    <w:uiPriority w:val="59"/>
    <w:rsid w:val="008C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1380E"/>
    <w:rPr>
      <w:rFonts w:asciiTheme="majorHAnsi" w:eastAsiaTheme="majorEastAsia" w:hAnsiTheme="majorHAnsi" w:cstheme="majorBidi"/>
      <w:i/>
      <w:iCs/>
      <w:color w:val="206F89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80E"/>
    <w:rPr>
      <w:rFonts w:asciiTheme="majorHAnsi" w:eastAsiaTheme="majorEastAsia" w:hAnsiTheme="majorHAnsi" w:cstheme="majorBidi"/>
      <w:color w:val="206F89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80E"/>
    <w:rPr>
      <w:rFonts w:asciiTheme="majorHAnsi" w:eastAsiaTheme="majorEastAsia" w:hAnsiTheme="majorHAnsi" w:cstheme="majorBidi"/>
      <w:color w:val="15495B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80E"/>
    <w:rPr>
      <w:rFonts w:asciiTheme="majorHAnsi" w:eastAsiaTheme="majorEastAsia" w:hAnsiTheme="majorHAnsi" w:cstheme="majorBidi"/>
      <w:i/>
      <w:iCs/>
      <w:color w:val="15495B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80E"/>
    <w:rPr>
      <w:rFonts w:asciiTheme="majorHAnsi" w:eastAsiaTheme="majorEastAsia" w:hAnsiTheme="majorHAnsi" w:cstheme="majorBidi"/>
      <w:color w:val="5D5D5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80E"/>
    <w:rPr>
      <w:rFonts w:asciiTheme="majorHAnsi" w:eastAsiaTheme="majorEastAsia" w:hAnsiTheme="majorHAnsi" w:cstheme="majorBidi"/>
      <w:i/>
      <w:iCs/>
      <w:color w:val="5D5D5D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53B84"/>
    <w:rPr>
      <w:rFonts w:ascii="Calibri" w:hAnsi="Calibri"/>
      <w:b/>
      <w:bCs/>
      <w:i w:val="0"/>
      <w:iCs w:val="0"/>
      <w:color w:val="2EAEDA"/>
      <w:sz w:val="44"/>
    </w:rPr>
  </w:style>
  <w:style w:type="table" w:styleId="PlainTable4">
    <w:name w:val="Plain Table 4"/>
    <w:basedOn w:val="TableNormal"/>
    <w:uiPriority w:val="44"/>
    <w:rsid w:val="005C65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BoxHeader">
    <w:name w:val="Text Box Header"/>
    <w:basedOn w:val="Normal"/>
    <w:link w:val="TextBoxHeaderChar"/>
    <w:uiPriority w:val="2"/>
    <w:qFormat/>
    <w:rsid w:val="007D69A5"/>
    <w:pPr>
      <w:spacing w:after="0"/>
    </w:pPr>
    <w:rPr>
      <w:b/>
      <w:sz w:val="32"/>
      <w:szCs w:val="40"/>
    </w:rPr>
  </w:style>
  <w:style w:type="character" w:customStyle="1" w:styleId="TextBoxHeaderChar">
    <w:name w:val="Text Box Header Char"/>
    <w:basedOn w:val="DefaultParagraphFont"/>
    <w:link w:val="TextBoxHeader"/>
    <w:uiPriority w:val="2"/>
    <w:rsid w:val="007D69A5"/>
    <w:rPr>
      <w:rFonts w:asciiTheme="majorHAnsi" w:hAnsiTheme="majorHAnsi"/>
      <w:b/>
      <w:color w:val="6F6F6F" w:themeColor="text1" w:themeTint="BF"/>
      <w:sz w:val="32"/>
      <w:szCs w:val="40"/>
    </w:rPr>
  </w:style>
  <w:style w:type="paragraph" w:styleId="NoSpacing">
    <w:name w:val="No Spacing"/>
    <w:link w:val="NoSpacingChar"/>
    <w:uiPriority w:val="1"/>
    <w:qFormat/>
    <w:rsid w:val="002B34D5"/>
    <w:pPr>
      <w:ind w:right="51"/>
    </w:pPr>
    <w:rPr>
      <w:rFonts w:ascii="Calibri" w:hAnsi="Calibri"/>
      <w:color w:val="404040" w:themeColor="text1"/>
      <w:sz w:val="22"/>
      <w:szCs w:val="20"/>
    </w:rPr>
  </w:style>
  <w:style w:type="character" w:styleId="Strong">
    <w:name w:val="Strong"/>
    <w:basedOn w:val="DefaultParagraphFont"/>
    <w:uiPriority w:val="22"/>
    <w:unhideWhenUsed/>
    <w:qFormat/>
    <w:rsid w:val="002E27F8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F0588"/>
    <w:pPr>
      <w:spacing w:after="200"/>
    </w:pPr>
    <w:rPr>
      <w:i/>
      <w:iCs/>
      <w:color w:val="808080" w:themeColor="background1" w:themeShade="80"/>
      <w:sz w:val="20"/>
      <w:szCs w:val="18"/>
    </w:rPr>
  </w:style>
  <w:style w:type="paragraph" w:customStyle="1" w:styleId="ListParagraph1">
    <w:name w:val="List Paragraph1"/>
    <w:basedOn w:val="Bullets"/>
    <w:rsid w:val="0049451E"/>
  </w:style>
  <w:style w:type="paragraph" w:customStyle="1" w:styleId="ListParagraphNumbered">
    <w:name w:val="List Paragraph – Numbered"/>
    <w:basedOn w:val="Numberedlist"/>
    <w:next w:val="Numberedlist"/>
    <w:qFormat/>
    <w:rsid w:val="0049451E"/>
  </w:style>
  <w:style w:type="paragraph" w:styleId="Bibliography">
    <w:name w:val="Bibliography"/>
    <w:basedOn w:val="Normal"/>
    <w:next w:val="Normal"/>
    <w:uiPriority w:val="37"/>
    <w:unhideWhenUsed/>
    <w:qFormat/>
    <w:rsid w:val="0000632D"/>
    <w:pPr>
      <w:ind w:left="284" w:hanging="284"/>
    </w:pPr>
  </w:style>
  <w:style w:type="table" w:styleId="PlainTable3">
    <w:name w:val="Plain Table 3"/>
    <w:basedOn w:val="TableNormal"/>
    <w:uiPriority w:val="43"/>
    <w:rsid w:val="00163EEA"/>
    <w:rPr>
      <w:rFonts w:asciiTheme="majorHAnsi" w:hAnsiTheme="majorHAnsi"/>
      <w:sz w:val="20"/>
    </w:rPr>
    <w:tblPr>
      <w:tblStyleRowBandSize w:val="1"/>
      <w:tblStyleColBandSize w:val="1"/>
    </w:tblPr>
    <w:tblStylePr w:type="firstRow">
      <w:pPr>
        <w:jc w:val="left"/>
      </w:pPr>
      <w:rPr>
        <w:b/>
        <w:bCs/>
        <w:caps w:val="0"/>
        <w:smallCaps w:val="0"/>
      </w:rPr>
      <w:tblPr/>
      <w:tcPr>
        <w:tcBorders>
          <w:bottom w:val="single" w:sz="4" w:space="0" w:color="9F9F9F" w:themeColor="text1" w:themeTint="80"/>
        </w:tcBorders>
        <w:vAlign w:val="bottom"/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 w:val="0"/>
      </w:rPr>
      <w:tblPr/>
      <w:tcPr>
        <w:tcBorders>
          <w:right w:val="single" w:sz="4" w:space="0" w:color="9F9F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eyWord">
    <w:name w:val="Key Word"/>
    <w:basedOn w:val="DefaultParagraphFont"/>
    <w:uiPriority w:val="1"/>
    <w:qFormat/>
    <w:rsid w:val="00C01012"/>
    <w:rPr>
      <w:b/>
    </w:rPr>
  </w:style>
  <w:style w:type="character" w:styleId="CommentReference">
    <w:name w:val="annotation reference"/>
    <w:basedOn w:val="DefaultParagraphFont"/>
    <w:semiHidden/>
    <w:unhideWhenUsed/>
    <w:rsid w:val="00D33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8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8CE"/>
    <w:rPr>
      <w:rFonts w:ascii="Calibri" w:hAnsi="Calibri"/>
      <w:color w:val="404040" w:themeColor="text1"/>
      <w:sz w:val="20"/>
      <w:szCs w:val="20"/>
      <w:lang w:val="es-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8CE"/>
    <w:rPr>
      <w:rFonts w:ascii="Calibri" w:hAnsi="Calibri"/>
      <w:b/>
      <w:bCs/>
      <w:color w:val="404040" w:themeColor="text1"/>
      <w:sz w:val="20"/>
      <w:szCs w:val="20"/>
      <w:lang w:val="es-AR"/>
    </w:rPr>
  </w:style>
  <w:style w:type="paragraph" w:customStyle="1" w:styleId="MBATableText">
    <w:name w:val="MBA Table Text"/>
    <w:basedOn w:val="NoSpacing"/>
    <w:qFormat/>
    <w:rsid w:val="00E94755"/>
    <w:pPr>
      <w:jc w:val="center"/>
    </w:pPr>
    <w:rPr>
      <w:rFonts w:ascii="Calibri Light" w:hAnsi="Calibri Light"/>
    </w:rPr>
  </w:style>
  <w:style w:type="paragraph" w:customStyle="1" w:styleId="MBATableText-Selected">
    <w:name w:val="MBA Table Text - Selected"/>
    <w:basedOn w:val="MBATableText"/>
    <w:qFormat/>
    <w:rsid w:val="004C3429"/>
    <w:rPr>
      <w:rFonts w:ascii="Calibri" w:hAnsi="Calibri"/>
      <w:b/>
      <w:bCs/>
      <w:noProof/>
    </w:rPr>
  </w:style>
  <w:style w:type="paragraph" w:customStyle="1" w:styleId="Table-AfterParagraphInvisibility">
    <w:name w:val="Table - After Paragraph Invisibility"/>
    <w:basedOn w:val="Normal"/>
    <w:qFormat/>
    <w:rsid w:val="007A328F"/>
    <w:pPr>
      <w:spacing w:after="0"/>
    </w:pPr>
    <w:rPr>
      <w:sz w:val="2"/>
    </w:rPr>
  </w:style>
  <w:style w:type="paragraph" w:customStyle="1" w:styleId="NoSpacing-Table">
    <w:name w:val="No Spacing - Table"/>
    <w:basedOn w:val="NoSpacing"/>
    <w:qFormat/>
    <w:rsid w:val="00FE7F58"/>
    <w:rPr>
      <w:bCs/>
      <w:sz w:val="20"/>
    </w:rPr>
  </w:style>
  <w:style w:type="paragraph" w:customStyle="1" w:styleId="Normal-TitleSubtitle">
    <w:name w:val="Normal - Title Subtitle"/>
    <w:basedOn w:val="Normal"/>
    <w:qFormat/>
    <w:rsid w:val="00EB0679"/>
    <w:pPr>
      <w:spacing w:after="0"/>
    </w:pPr>
    <w:rPr>
      <w:color w:val="8C8C8C" w:themeColor="text1" w:themeTint="9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hwts.info/products-technologies/62d9fef4/british-berkefeldr-household-filter-k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support@cawst.org" TargetMode="External"/><Relationship Id="rId2" Type="http://schemas.openxmlformats.org/officeDocument/2006/relationships/hyperlink" Target="https://resources.cawst.org/cc" TargetMode="External"/><Relationship Id="rId1" Type="http://schemas.openxmlformats.org/officeDocument/2006/relationships/hyperlink" Target="http://creativecommons.org/licenses/by-sa/4.0/" TargetMode="External"/><Relationship Id="rId6" Type="http://schemas.openxmlformats.org/officeDocument/2006/relationships/hyperlink" Target="https://resources.cawst.org/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2.png@01D30549.D4A15250" TargetMode="External"/></Relationships>
</file>

<file path=word/theme/theme1.xml><?xml version="1.0" encoding="utf-8"?>
<a:theme xmlns:a="http://schemas.openxmlformats.org/drawingml/2006/main" name="Office Theme">
  <a:themeElements>
    <a:clrScheme name="CAWST Theme">
      <a:dk1>
        <a:srgbClr val="404040"/>
      </a:dk1>
      <a:lt1>
        <a:srgbClr val="FFFFFF"/>
      </a:lt1>
      <a:dk2>
        <a:srgbClr val="005478"/>
      </a:dk2>
      <a:lt2>
        <a:srgbClr val="38C6F4"/>
      </a:lt2>
      <a:accent1>
        <a:srgbClr val="2B95B8"/>
      </a:accent1>
      <a:accent2>
        <a:srgbClr val="E9CD0C"/>
      </a:accent2>
      <a:accent3>
        <a:srgbClr val="F68D36"/>
      </a:accent3>
      <a:accent4>
        <a:srgbClr val="EC563C"/>
      </a:accent4>
      <a:accent5>
        <a:srgbClr val="54B469"/>
      </a:accent5>
      <a:accent6>
        <a:srgbClr val="B959A2"/>
      </a:accent6>
      <a:hlink>
        <a:srgbClr val="2B95B8"/>
      </a:hlink>
      <a:folHlink>
        <a:srgbClr val="2B95B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2F9134-CF4B-4145-B989-3F36DDAC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Mahaffy</dc:creator>
  <cp:keywords/>
  <dc:description/>
  <cp:lastModifiedBy>Andrea Roach</cp:lastModifiedBy>
  <cp:revision>5</cp:revision>
  <cp:lastPrinted>2017-03-01T20:59:00Z</cp:lastPrinted>
  <dcterms:created xsi:type="dcterms:W3CDTF">2018-03-15T18:15:00Z</dcterms:created>
  <dcterms:modified xsi:type="dcterms:W3CDTF">2018-04-02T18:29:00Z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deLevel">
    <vt:lpwstr>8</vt:lpwstr>
  </property>
</Properties>
</file>