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314D" w14:textId="77777777" w:rsidR="00366851" w:rsidRDefault="00366851" w:rsidP="004A5A5C">
      <w:pPr>
        <w:pStyle w:val="StyleFactsheetHeading11pt"/>
        <w:pBdr>
          <w:top w:val="single" w:sz="4" w:space="1" w:color="auto" w:shadow="1"/>
          <w:left w:val="single" w:sz="4" w:space="4" w:color="auto" w:shadow="1"/>
          <w:bottom w:val="single" w:sz="4" w:space="1" w:color="auto" w:shadow="1"/>
          <w:right w:val="single" w:sz="4" w:space="4" w:color="auto" w:shadow="1"/>
        </w:pBdr>
        <w:spacing w:before="0" w:after="0"/>
        <w:rPr>
          <w:b w:val="0"/>
          <w:lang w:val="fr-FR"/>
        </w:rPr>
      </w:pPr>
    </w:p>
    <w:p w14:paraId="654E0790" w14:textId="256CACD8" w:rsidR="001E490D" w:rsidRDefault="001E490D" w:rsidP="004A5A5C">
      <w:pPr>
        <w:pStyle w:val="StyleFactsheetHeading11pt"/>
        <w:pBdr>
          <w:top w:val="single" w:sz="4" w:space="1" w:color="auto" w:shadow="1"/>
          <w:left w:val="single" w:sz="4" w:space="4" w:color="auto" w:shadow="1"/>
          <w:bottom w:val="single" w:sz="4" w:space="1" w:color="auto" w:shadow="1"/>
          <w:right w:val="single" w:sz="4" w:space="4" w:color="auto" w:shadow="1"/>
        </w:pBdr>
        <w:spacing w:before="0" w:after="0"/>
        <w:jc w:val="center"/>
        <w:rPr>
          <w:b w:val="0"/>
          <w:szCs w:val="22"/>
          <w:lang w:val="fr-FR"/>
        </w:rPr>
      </w:pPr>
      <w:r w:rsidRPr="00C25576">
        <w:rPr>
          <w:b w:val="0"/>
          <w:bCs w:val="0"/>
          <w:color w:val="000000"/>
          <w:szCs w:val="22"/>
          <w:lang w:val="fr-FR"/>
        </w:rPr>
        <w:t>“</w:t>
      </w:r>
      <w:r>
        <w:rPr>
          <w:b w:val="0"/>
          <w:lang w:val="fr-FR"/>
        </w:rPr>
        <w:t xml:space="preserve">Créer un accès équitable et durable à l'eau potable, à l'assainissement amélioré et à l'hygiène peut </w:t>
      </w:r>
      <w:r w:rsidRPr="00FA00D8">
        <w:rPr>
          <w:szCs w:val="22"/>
          <w:lang w:val="fr-FR"/>
        </w:rPr>
        <w:t>bénéficier de façon spectaculaire</w:t>
      </w:r>
      <w:r>
        <w:rPr>
          <w:b w:val="0"/>
          <w:lang w:val="fr-FR"/>
        </w:rPr>
        <w:t xml:space="preserve"> à la santé reproductive, maternelle, néonatale et infantile.” </w:t>
      </w:r>
    </w:p>
    <w:p w14:paraId="552F980F" w14:textId="77777777" w:rsidR="001E490D" w:rsidRDefault="001E490D" w:rsidP="004A5A5C">
      <w:pPr>
        <w:pStyle w:val="StyleFactsheetHeading11pt"/>
        <w:pBdr>
          <w:top w:val="single" w:sz="4" w:space="1" w:color="auto" w:shadow="1"/>
          <w:left w:val="single" w:sz="4" w:space="4" w:color="auto" w:shadow="1"/>
          <w:bottom w:val="single" w:sz="4" w:space="1" w:color="auto" w:shadow="1"/>
          <w:right w:val="single" w:sz="4" w:space="4" w:color="auto" w:shadow="1"/>
        </w:pBdr>
        <w:spacing w:before="0" w:after="0"/>
        <w:jc w:val="center"/>
        <w:rPr>
          <w:b w:val="0"/>
          <w:szCs w:val="22"/>
          <w:lang w:val="fr-FR"/>
        </w:rPr>
      </w:pPr>
    </w:p>
    <w:p w14:paraId="048D9842" w14:textId="1DE95D21" w:rsidR="001E490D" w:rsidRDefault="001E490D" w:rsidP="004A5A5C">
      <w:pPr>
        <w:pStyle w:val="StyleFactsheetHeading11pt"/>
        <w:pBdr>
          <w:top w:val="single" w:sz="4" w:space="1" w:color="auto" w:shadow="1"/>
          <w:left w:val="single" w:sz="4" w:space="4" w:color="auto" w:shadow="1"/>
          <w:bottom w:val="single" w:sz="4" w:space="1" w:color="auto" w:shadow="1"/>
          <w:right w:val="single" w:sz="4" w:space="4" w:color="auto" w:shadow="1"/>
        </w:pBdr>
        <w:spacing w:before="0" w:after="0"/>
        <w:jc w:val="right"/>
        <w:rPr>
          <w:b w:val="0"/>
          <w:sz w:val="16"/>
          <w:szCs w:val="16"/>
          <w:lang w:val="fr-FR"/>
        </w:rPr>
      </w:pPr>
      <w:r>
        <w:rPr>
          <w:b w:val="0"/>
          <w:sz w:val="16"/>
          <w:lang w:val="fr-FR"/>
        </w:rPr>
        <w:t>(The Partnership for Maternal, Newborn, &amp; Child Health, 2014)</w:t>
      </w:r>
    </w:p>
    <w:p w14:paraId="1CA68120" w14:textId="77777777" w:rsidR="001E490D" w:rsidRPr="004A5A5C" w:rsidRDefault="001E490D" w:rsidP="004A5A5C">
      <w:pPr>
        <w:pStyle w:val="StyleFactsheetHeading11pt"/>
        <w:pBdr>
          <w:top w:val="single" w:sz="4" w:space="1" w:color="auto" w:shadow="1"/>
          <w:left w:val="single" w:sz="4" w:space="4" w:color="auto" w:shadow="1"/>
          <w:bottom w:val="single" w:sz="4" w:space="1" w:color="auto" w:shadow="1"/>
          <w:right w:val="single" w:sz="4" w:space="4" w:color="auto" w:shadow="1"/>
        </w:pBdr>
        <w:spacing w:before="0" w:after="0"/>
        <w:jc w:val="right"/>
        <w:rPr>
          <w:b w:val="0"/>
          <w:szCs w:val="22"/>
          <w:lang w:val="fr-FR"/>
        </w:rPr>
      </w:pPr>
    </w:p>
    <w:p w14:paraId="4716C8DC" w14:textId="77777777" w:rsidR="001E490D" w:rsidRDefault="001E490D" w:rsidP="004A5A5C">
      <w:pPr>
        <w:pStyle w:val="StyleFactsheetHeading11pt"/>
        <w:spacing w:before="0" w:after="0"/>
        <w:rPr>
          <w:lang w:val="fr-FR"/>
        </w:rPr>
      </w:pPr>
    </w:p>
    <w:p w14:paraId="7F094109" w14:textId="77777777" w:rsidR="001E490D" w:rsidRDefault="001E490D" w:rsidP="004A5A5C">
      <w:pPr>
        <w:pStyle w:val="StyleFactsheetHeading11pt"/>
        <w:spacing w:before="0" w:after="0"/>
        <w:rPr>
          <w:lang w:val="fr-FR"/>
        </w:rPr>
      </w:pPr>
    </w:p>
    <w:p w14:paraId="725BE37A" w14:textId="66F0E1FD" w:rsidR="00025DDE" w:rsidRPr="004A5A5C" w:rsidRDefault="000C43BE" w:rsidP="004A5A5C">
      <w:pPr>
        <w:pStyle w:val="StyleFactsheetHeading11pt"/>
        <w:spacing w:before="0"/>
        <w:rPr>
          <w:b w:val="0"/>
          <w:sz w:val="26"/>
          <w:szCs w:val="26"/>
          <w:lang w:val="fr-FR"/>
        </w:rPr>
      </w:pPr>
      <w:r>
        <w:rPr>
          <w:sz w:val="26"/>
          <w:lang w:val="fr-FR"/>
        </w:rPr>
        <w:t>WASH et santé</w:t>
      </w:r>
    </w:p>
    <w:p w14:paraId="15EA704F" w14:textId="0F87A361" w:rsidR="00016BA8" w:rsidRDefault="00025DDE" w:rsidP="00D70FAB">
      <w:pPr>
        <w:pStyle w:val="StyleFactsheetHeading11pt"/>
        <w:numPr>
          <w:ilvl w:val="0"/>
          <w:numId w:val="12"/>
        </w:numPr>
        <w:spacing w:before="0" w:after="0"/>
        <w:rPr>
          <w:b w:val="0"/>
          <w:lang w:val="fr-FR"/>
        </w:rPr>
      </w:pPr>
      <w:r>
        <w:rPr>
          <w:b w:val="0"/>
          <w:lang w:val="fr-FR"/>
        </w:rPr>
        <w:t>On estime que 58% des cas de diarrhée sont liés à une eau insalubre, un mauvais assainissement, et/ou un manque d’hygiène (Prüss-Ustün, 2014).</w:t>
      </w:r>
    </w:p>
    <w:p w14:paraId="370B7F64" w14:textId="77777777" w:rsidR="00556528" w:rsidRDefault="00556528" w:rsidP="004A5A5C">
      <w:pPr>
        <w:pStyle w:val="StyleFactsheetHeading11pt"/>
        <w:spacing w:before="0" w:after="0"/>
        <w:rPr>
          <w:lang w:val="fr-FR"/>
        </w:rPr>
      </w:pPr>
    </w:p>
    <w:p w14:paraId="0BFBFD13" w14:textId="18247A6E" w:rsidR="00457364" w:rsidRPr="004A5A5C" w:rsidRDefault="00025DDE" w:rsidP="004A5A5C">
      <w:pPr>
        <w:pStyle w:val="StyleFactsheetHeading11pt"/>
        <w:spacing w:before="0"/>
        <w:rPr>
          <w:sz w:val="26"/>
          <w:szCs w:val="26"/>
          <w:lang w:val="fr-FR"/>
        </w:rPr>
      </w:pPr>
      <w:r>
        <w:rPr>
          <w:sz w:val="26"/>
          <w:lang w:val="fr-FR"/>
        </w:rPr>
        <w:t>Femmes enceintes</w:t>
      </w:r>
    </w:p>
    <w:p w14:paraId="43B2C556" w14:textId="619380AD" w:rsidR="00025DDE" w:rsidRPr="00025DDE" w:rsidRDefault="00025DDE" w:rsidP="00D70FAB">
      <w:pPr>
        <w:pStyle w:val="StyleFactsheetHeading11pt"/>
        <w:numPr>
          <w:ilvl w:val="0"/>
          <w:numId w:val="12"/>
        </w:numPr>
        <w:spacing w:before="0" w:after="0"/>
        <w:rPr>
          <w:b w:val="0"/>
          <w:lang w:val="fr-FR"/>
        </w:rPr>
      </w:pPr>
      <w:r>
        <w:rPr>
          <w:b w:val="0"/>
          <w:lang w:val="fr-FR"/>
        </w:rPr>
        <w:t>“Dans les pays en développement, on estime que 10 à 15% [des morts maternelles] sont dues à des infections pouvant être directement liées à des conditions non hygiéniques durant l'accouchement et la naissance, à domicile ou dans les cliniques, et à de mauvaises pratiques d'hygiène dans les six semaines suivant la naissance". (PMNCH, 2014)</w:t>
      </w:r>
    </w:p>
    <w:p w14:paraId="047DFADA" w14:textId="77777777" w:rsidR="00556528" w:rsidRDefault="00556528" w:rsidP="004A5A5C">
      <w:pPr>
        <w:pStyle w:val="StyleFactsheetHeading11pt"/>
        <w:spacing w:before="0" w:after="0"/>
        <w:rPr>
          <w:lang w:val="fr-FR"/>
        </w:rPr>
      </w:pPr>
    </w:p>
    <w:p w14:paraId="3C4940BF" w14:textId="56425494" w:rsidR="00025DDE" w:rsidRPr="004A5A5C" w:rsidRDefault="00457364" w:rsidP="004A5A5C">
      <w:pPr>
        <w:pStyle w:val="StyleFactsheetHeading11pt"/>
        <w:spacing w:before="0"/>
        <w:rPr>
          <w:sz w:val="26"/>
          <w:szCs w:val="26"/>
          <w:lang w:val="fr-FR"/>
        </w:rPr>
      </w:pPr>
      <w:r>
        <w:rPr>
          <w:sz w:val="26"/>
          <w:lang w:val="fr-FR"/>
        </w:rPr>
        <w:t>Nouveau-nés et enfants</w:t>
      </w:r>
    </w:p>
    <w:p w14:paraId="349EECCC" w14:textId="72BC4EC7" w:rsidR="001E0069" w:rsidRDefault="001E0069" w:rsidP="00D70FAB">
      <w:pPr>
        <w:pStyle w:val="StyleFactsheetHeading11pt"/>
        <w:numPr>
          <w:ilvl w:val="0"/>
          <w:numId w:val="12"/>
        </w:numPr>
        <w:spacing w:before="0"/>
        <w:ind w:left="357" w:hanging="357"/>
        <w:rPr>
          <w:b w:val="0"/>
          <w:lang w:val="fr-FR"/>
        </w:rPr>
      </w:pPr>
      <w:r>
        <w:rPr>
          <w:b w:val="0"/>
          <w:lang w:val="fr-FR"/>
        </w:rPr>
        <w:t>Environ 1000 enfants meurent chaque jour à cause d'une eau de boisson insalubre, d'un assainissement inadéquat, et d'une mauvaise hygiène (Prüss-Ustün, 2014).</w:t>
      </w:r>
    </w:p>
    <w:p w14:paraId="2A5F67E6" w14:textId="125BB2AE" w:rsidR="001E0069" w:rsidRPr="00025DDE" w:rsidRDefault="001E0069" w:rsidP="00D70FAB">
      <w:pPr>
        <w:pStyle w:val="StyleFactsheetHeading11pt"/>
        <w:numPr>
          <w:ilvl w:val="0"/>
          <w:numId w:val="12"/>
        </w:numPr>
        <w:spacing w:before="0"/>
        <w:ind w:left="357" w:hanging="357"/>
        <w:rPr>
          <w:b w:val="0"/>
          <w:lang w:val="fr-FR"/>
        </w:rPr>
      </w:pPr>
      <w:r>
        <w:rPr>
          <w:b w:val="0"/>
          <w:lang w:val="fr-FR"/>
        </w:rPr>
        <w:t xml:space="preserve">Les deux principales causes de mortalité des enfants dans le monde (1 mois à 5 ans) sont la pneumonie et la diarrhée (Liu et al., 2012). Ces deux maladies ne sont pas indépendantes. Dans de nombreux cas, le fait d'avoir souffert de diarrhée augmente le risque pour les jeunes enfants de contracter des maladies respiratoires aigües, telles que la pneumonie (Walker et al. 2013) </w:t>
      </w:r>
    </w:p>
    <w:p w14:paraId="54DB65EB" w14:textId="4A976774" w:rsidR="00025DDE" w:rsidRPr="00025DDE" w:rsidRDefault="00025DDE" w:rsidP="00D70FAB">
      <w:pPr>
        <w:pStyle w:val="StyleFactsheetHeading11pt"/>
        <w:numPr>
          <w:ilvl w:val="0"/>
          <w:numId w:val="12"/>
        </w:numPr>
        <w:spacing w:before="0"/>
        <w:ind w:left="357" w:hanging="357"/>
        <w:rPr>
          <w:b w:val="0"/>
          <w:lang w:val="fr-FR"/>
        </w:rPr>
      </w:pPr>
      <w:r>
        <w:rPr>
          <w:b w:val="0"/>
          <w:lang w:val="fr-FR"/>
        </w:rPr>
        <w:t>“50% de la malnutrition mondiale est due à des maladies liées à l'eau comme la diarrhée et les vers intestinaux, et 25% des retards de croissance peuvent être attribués au fait d'avoir souffert de cinq épisodes de diarrhées ou davantage au cours des deux premières années de vie (PMNCH, 2014).”</w:t>
      </w:r>
    </w:p>
    <w:p w14:paraId="660A0131" w14:textId="28DCA100" w:rsidR="00C25576" w:rsidRDefault="00457364" w:rsidP="00D70FAB">
      <w:pPr>
        <w:pStyle w:val="StyleFactsheetHeading11pt"/>
        <w:numPr>
          <w:ilvl w:val="0"/>
          <w:numId w:val="12"/>
        </w:numPr>
        <w:spacing w:before="0" w:after="0"/>
        <w:rPr>
          <w:b w:val="0"/>
          <w:lang w:val="fr-FR"/>
        </w:rPr>
      </w:pPr>
      <w:r>
        <w:rPr>
          <w:b w:val="0"/>
          <w:lang w:val="fr-FR"/>
        </w:rPr>
        <w:t>"Des 555 millions d’enfants d’âge préscolaire dans les pays en développement, 32% sont rachitiques et 20% sont en sous-poids (…) Cela entraine sur le long terme des déficits cognitifs, des performances moindres à l’école et moins d’années de scolarité, ainsi qu’une productivité économique inférieure à l’âge adulte" (Humphrey, 2009)</w:t>
      </w:r>
    </w:p>
    <w:p w14:paraId="13975908" w14:textId="77777777" w:rsidR="00556528" w:rsidRDefault="00556528" w:rsidP="004A5A5C">
      <w:pPr>
        <w:pStyle w:val="StyleFactsheetHeading11pt"/>
        <w:spacing w:before="0" w:after="0"/>
        <w:ind w:left="360"/>
        <w:rPr>
          <w:b w:val="0"/>
          <w:lang w:val="fr-FR"/>
        </w:rPr>
      </w:pPr>
    </w:p>
    <w:p w14:paraId="091FF8B4" w14:textId="1C3245C3" w:rsidR="00C25576" w:rsidRPr="004A5A5C" w:rsidRDefault="001E0069" w:rsidP="004A5A5C">
      <w:pPr>
        <w:pStyle w:val="StyleFactsheetHeading11pt"/>
        <w:keepNext/>
        <w:keepLines/>
        <w:spacing w:before="0"/>
        <w:rPr>
          <w:sz w:val="26"/>
          <w:szCs w:val="26"/>
          <w:lang w:val="fr-FR"/>
        </w:rPr>
      </w:pPr>
      <w:r>
        <w:rPr>
          <w:sz w:val="26"/>
          <w:lang w:val="fr-FR"/>
        </w:rPr>
        <w:t>Interventions sur le WASH</w:t>
      </w:r>
    </w:p>
    <w:p w14:paraId="2A2E74DB" w14:textId="569683C2" w:rsidR="00C25576" w:rsidRPr="00025DDE" w:rsidRDefault="00C25576" w:rsidP="00D70FAB">
      <w:pPr>
        <w:pStyle w:val="StyleFactsheetHeading11pt"/>
        <w:numPr>
          <w:ilvl w:val="0"/>
          <w:numId w:val="13"/>
        </w:numPr>
        <w:spacing w:before="0" w:after="0"/>
        <w:rPr>
          <w:b w:val="0"/>
          <w:lang w:val="fr-FR"/>
        </w:rPr>
      </w:pPr>
      <w:r>
        <w:rPr>
          <w:b w:val="0"/>
          <w:lang w:val="fr-FR"/>
        </w:rPr>
        <w:t>La diarrhée chez les nourrissons peut être réduite de plus d'un tiers lorsque les mères adoptent des pratiques correctes de lavage des mains, d'hygiène alimentaire et d'hygiène domestique. L'élimination sûre des excréments réduit le risque de diarrhée chez les enfants de 37% (PMNCH, 2014).</w:t>
      </w:r>
    </w:p>
    <w:p w14:paraId="5A7CD908" w14:textId="26EF803F" w:rsidR="001E0069" w:rsidRDefault="001E0069" w:rsidP="00D70FAB">
      <w:pPr>
        <w:pStyle w:val="StyleFactsheetHeading11pt"/>
        <w:keepNext/>
        <w:keepLines/>
        <w:numPr>
          <w:ilvl w:val="0"/>
          <w:numId w:val="13"/>
        </w:numPr>
        <w:spacing w:before="0"/>
        <w:ind w:left="357" w:hanging="357"/>
        <w:rPr>
          <w:b w:val="0"/>
          <w:lang w:val="fr-FR"/>
        </w:rPr>
      </w:pPr>
      <w:r>
        <w:rPr>
          <w:b w:val="0"/>
          <w:lang w:val="fr-FR"/>
        </w:rPr>
        <w:lastRenderedPageBreak/>
        <w:t xml:space="preserve">“Les interventions visant cinq agents pathogènes (rotavirus, </w:t>
      </w:r>
      <w:r w:rsidRPr="00C25576">
        <w:rPr>
          <w:b w:val="0"/>
          <w:i/>
          <w:iCs/>
          <w:szCs w:val="22"/>
          <w:lang w:val="fr-FR"/>
        </w:rPr>
        <w:t>Shigella</w:t>
      </w:r>
      <w:r>
        <w:rPr>
          <w:b w:val="0"/>
          <w:lang w:val="fr-FR"/>
        </w:rPr>
        <w:t xml:space="preserve">, ST-ECET, </w:t>
      </w:r>
      <w:r w:rsidRPr="00C25576">
        <w:rPr>
          <w:b w:val="0"/>
          <w:i/>
          <w:iCs/>
          <w:szCs w:val="22"/>
          <w:lang w:val="fr-FR"/>
        </w:rPr>
        <w:t>Cryptosporidium</w:t>
      </w:r>
      <w:r>
        <w:rPr>
          <w:b w:val="0"/>
          <w:lang w:val="fr-FR"/>
        </w:rPr>
        <w:t xml:space="preserve">, </w:t>
      </w:r>
      <w:r w:rsidRPr="00C25576">
        <w:rPr>
          <w:b w:val="0"/>
          <w:i/>
          <w:iCs/>
          <w:szCs w:val="22"/>
          <w:lang w:val="fr-FR"/>
        </w:rPr>
        <w:t>et E coli</w:t>
      </w:r>
      <w:r>
        <w:rPr>
          <w:b w:val="0"/>
          <w:lang w:val="fr-FR"/>
        </w:rPr>
        <w:t>entéropathogène) peuvent réduire significativement l'occurrence des diarrhée modérée à aiguë" chez les enfants de moins de cinq ans en Afrique subsaharienne et en Asie du sud (Kotloff et al., 2013). L'exposition à ces cinq agents pathogènes peut être réduite en améliorant l'utilisation d'eau potable, d'un assainissement adéquat, ainsi que des pratiques d'hygiène.</w:t>
      </w:r>
    </w:p>
    <w:p w14:paraId="20CE9CC2" w14:textId="4D17AEDA" w:rsidR="001E0069" w:rsidRPr="001E0069" w:rsidRDefault="001E0069" w:rsidP="00D70FAB">
      <w:pPr>
        <w:pStyle w:val="StyleFactsheetHeading11pt"/>
        <w:keepNext/>
        <w:keepLines/>
        <w:numPr>
          <w:ilvl w:val="0"/>
          <w:numId w:val="13"/>
        </w:numPr>
        <w:spacing w:before="0"/>
        <w:ind w:left="357" w:hanging="357"/>
        <w:rPr>
          <w:b w:val="0"/>
          <w:lang w:val="fr-FR"/>
        </w:rPr>
      </w:pPr>
      <w:r>
        <w:rPr>
          <w:b w:val="0"/>
          <w:lang w:val="fr-FR"/>
        </w:rPr>
        <w:t>“L'eau, l'assainissement et l'hygiène améliorés améliorent aussi directement la croissance et le développement des enfants." (PMNC</w:t>
      </w:r>
      <w:bookmarkStart w:id="0" w:name="_GoBack"/>
      <w:bookmarkEnd w:id="0"/>
      <w:r>
        <w:rPr>
          <w:b w:val="0"/>
          <w:lang w:val="fr-FR"/>
        </w:rPr>
        <w:t>H, 2014)</w:t>
      </w:r>
    </w:p>
    <w:p w14:paraId="0409982A" w14:textId="08427298" w:rsidR="004214C5" w:rsidRDefault="004214C5" w:rsidP="00D70FAB">
      <w:pPr>
        <w:pStyle w:val="StyleFactsheetHeading11pt"/>
        <w:keepNext/>
        <w:keepLines/>
        <w:numPr>
          <w:ilvl w:val="0"/>
          <w:numId w:val="13"/>
        </w:numPr>
        <w:spacing w:before="0" w:after="0"/>
        <w:rPr>
          <w:b w:val="0"/>
          <w:szCs w:val="22"/>
          <w:lang w:val="fr-FR"/>
        </w:rPr>
      </w:pPr>
      <w:r>
        <w:rPr>
          <w:b w:val="0"/>
          <w:lang w:val="fr-FR"/>
        </w:rPr>
        <w:t>“L'accès à des sources d'eau améliorées dans la communauté peut réduire la mortalité maternelle en diminuant le risque de vers intestinaux, et donc d'anémie et de maladies diarrhéiques, qui conduisent à des déficiences nutritionnelles, et à l'hépatite." (PMNCH, 2014)</w:t>
      </w:r>
    </w:p>
    <w:p w14:paraId="621EC43A" w14:textId="209BC35B" w:rsidR="00FF6ED4" w:rsidRDefault="00FF6ED4" w:rsidP="004A5A5C">
      <w:pPr>
        <w:rPr>
          <w:rFonts w:ascii="Arial" w:eastAsia="Arial" w:hAnsi="Arial" w:cs="Arial"/>
          <w:b/>
          <w:lang w:val="fr-FR"/>
        </w:rPr>
      </w:pPr>
    </w:p>
    <w:p w14:paraId="2CAA5878" w14:textId="62E8A7B3" w:rsidR="00556528" w:rsidRDefault="00556528">
      <w:pPr>
        <w:rPr>
          <w:rFonts w:ascii="Arial" w:eastAsia="Arial" w:hAnsi="Arial" w:cs="Arial"/>
          <w:b/>
          <w:sz w:val="22"/>
          <w:szCs w:val="22"/>
          <w:lang w:val="fr-FR"/>
        </w:rPr>
      </w:pPr>
    </w:p>
    <w:p w14:paraId="2F1853CD" w14:textId="2C1E9797" w:rsidR="000C43BE" w:rsidRPr="004A5A5C" w:rsidRDefault="000C43BE" w:rsidP="00366851">
      <w:pPr>
        <w:spacing w:after="120"/>
        <w:rPr>
          <w:rFonts w:ascii="Arial" w:eastAsia="Arial" w:hAnsi="Arial" w:cs="Arial"/>
          <w:b/>
          <w:sz w:val="26"/>
          <w:szCs w:val="26"/>
          <w:lang w:val="fr-FR"/>
        </w:rPr>
      </w:pPr>
      <w:r>
        <w:rPr>
          <w:rFonts w:ascii="Arial" w:eastAsia="Arial" w:hAnsi="Arial" w:cs="Arial"/>
          <w:b/>
          <w:sz w:val="26"/>
          <w:lang w:val="fr-FR"/>
        </w:rPr>
        <w:t>Maladies liées au WASH et particulièrement dangereuses pour la santé des femmes enceintes, des nouveau-nés et des enfants</w:t>
      </w:r>
    </w:p>
    <w:p w14:paraId="53539FFC" w14:textId="3A91A5CB" w:rsidR="000C43BE" w:rsidRDefault="00366851" w:rsidP="004A5A5C">
      <w:pPr>
        <w:rPr>
          <w:rFonts w:ascii="Arial" w:eastAsia="Arial" w:hAnsi="Arial" w:cs="Arial"/>
          <w:sz w:val="22"/>
          <w:lang w:val="fr-FR"/>
        </w:rPr>
      </w:pPr>
      <w:r>
        <w:rPr>
          <w:rFonts w:ascii="Arial" w:eastAsia="Arial" w:hAnsi="Arial" w:cs="Arial"/>
          <w:sz w:val="22"/>
          <w:lang w:val="fr-FR"/>
        </w:rPr>
        <w:t>Le tableau ci-dessous énumère quelques maladies importantes pour la santé reproductive, maternelle, néonatale et infantile liées au WASH.</w:t>
      </w:r>
    </w:p>
    <w:p w14:paraId="67899D90" w14:textId="77777777" w:rsidR="00366851" w:rsidRDefault="00366851" w:rsidP="004A5A5C">
      <w:pPr>
        <w:rPr>
          <w:rFonts w:ascii="Arial" w:eastAsia="Arial" w:hAnsi="Arial" w:cs="Arial"/>
          <w:sz w:val="22"/>
          <w:lang w:val="fr-FR"/>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95"/>
        <w:gridCol w:w="1227"/>
        <w:gridCol w:w="1829"/>
        <w:gridCol w:w="1941"/>
        <w:gridCol w:w="2730"/>
      </w:tblGrid>
      <w:tr w:rsidR="00366851" w:rsidRPr="00366851" w14:paraId="6AA4E991" w14:textId="77777777" w:rsidTr="00A37BC7">
        <w:trPr>
          <w:cantSplit/>
          <w:trHeight w:val="536"/>
          <w:tblHeader/>
        </w:trPr>
        <w:tc>
          <w:tcPr>
            <w:tcW w:w="1597" w:type="dxa"/>
            <w:shd w:val="clear" w:color="auto" w:fill="auto"/>
            <w:vAlign w:val="center"/>
          </w:tcPr>
          <w:p w14:paraId="2598512F" w14:textId="77777777" w:rsidR="00366851" w:rsidRPr="00366851" w:rsidRDefault="00366851" w:rsidP="00366851">
            <w:pPr>
              <w:jc w:val="center"/>
              <w:rPr>
                <w:rFonts w:ascii="Arial" w:eastAsia="Arial" w:hAnsi="Arial" w:cs="Arial"/>
                <w:b/>
                <w:sz w:val="18"/>
                <w:szCs w:val="18"/>
                <w:lang w:val="fr-FR"/>
              </w:rPr>
            </w:pPr>
            <w:r>
              <w:rPr>
                <w:rFonts w:ascii="Arial" w:eastAsia="Arial" w:hAnsi="Arial" w:cs="Arial"/>
                <w:b/>
                <w:sz w:val="18"/>
                <w:lang w:val="fr-FR"/>
              </w:rPr>
              <w:t>Maladie</w:t>
            </w:r>
          </w:p>
        </w:tc>
        <w:tc>
          <w:tcPr>
            <w:tcW w:w="1063" w:type="dxa"/>
            <w:vAlign w:val="center"/>
          </w:tcPr>
          <w:p w14:paraId="59734A94" w14:textId="3700F080" w:rsidR="00366851" w:rsidRDefault="00366851" w:rsidP="00366851">
            <w:pPr>
              <w:jc w:val="center"/>
              <w:rPr>
                <w:rFonts w:ascii="Arial" w:eastAsia="Arial" w:hAnsi="Arial" w:cs="Arial"/>
                <w:b/>
                <w:sz w:val="18"/>
                <w:szCs w:val="18"/>
                <w:lang w:val="fr-FR"/>
              </w:rPr>
            </w:pPr>
            <w:r>
              <w:rPr>
                <w:rFonts w:ascii="Arial" w:eastAsia="Arial" w:hAnsi="Arial" w:cs="Arial"/>
                <w:b/>
                <w:sz w:val="18"/>
                <w:lang w:val="fr-FR"/>
              </w:rPr>
              <w:t>Type d'agent</w:t>
            </w:r>
          </w:p>
          <w:p w14:paraId="5F6F34D7" w14:textId="77777777" w:rsidR="00366851" w:rsidRPr="00366851" w:rsidRDefault="00366851" w:rsidP="00366851">
            <w:pPr>
              <w:jc w:val="center"/>
              <w:rPr>
                <w:rFonts w:ascii="Arial" w:eastAsia="Arial" w:hAnsi="Arial" w:cs="Arial"/>
                <w:b/>
                <w:sz w:val="18"/>
                <w:szCs w:val="18"/>
                <w:lang w:val="fr-FR"/>
              </w:rPr>
            </w:pPr>
            <w:r>
              <w:rPr>
                <w:rFonts w:ascii="Arial" w:eastAsia="Arial" w:hAnsi="Arial" w:cs="Arial"/>
                <w:b/>
                <w:sz w:val="18"/>
                <w:lang w:val="fr-FR"/>
              </w:rPr>
              <w:t>pathogène</w:t>
            </w:r>
          </w:p>
        </w:tc>
        <w:tc>
          <w:tcPr>
            <w:tcW w:w="1843" w:type="dxa"/>
            <w:shd w:val="clear" w:color="auto" w:fill="auto"/>
            <w:vAlign w:val="center"/>
          </w:tcPr>
          <w:p w14:paraId="484B01DC" w14:textId="77777777" w:rsidR="00366851" w:rsidRPr="00366851" w:rsidRDefault="00366851" w:rsidP="00366851">
            <w:pPr>
              <w:jc w:val="center"/>
              <w:rPr>
                <w:rFonts w:ascii="Arial" w:eastAsia="Arial" w:hAnsi="Arial" w:cs="Arial"/>
                <w:b/>
                <w:sz w:val="18"/>
                <w:szCs w:val="18"/>
                <w:lang w:val="fr-FR"/>
              </w:rPr>
            </w:pPr>
            <w:r>
              <w:rPr>
                <w:rFonts w:ascii="Arial" w:eastAsia="Arial" w:hAnsi="Arial" w:cs="Arial"/>
                <w:b/>
                <w:sz w:val="18"/>
                <w:lang w:val="fr-FR"/>
              </w:rPr>
              <w:t>Liée à l’eau, à l’assainissement ou à l’hygiène</w:t>
            </w:r>
          </w:p>
        </w:tc>
        <w:tc>
          <w:tcPr>
            <w:tcW w:w="1984" w:type="dxa"/>
            <w:shd w:val="clear" w:color="auto" w:fill="auto"/>
            <w:vAlign w:val="center"/>
          </w:tcPr>
          <w:p w14:paraId="00932207" w14:textId="77777777" w:rsidR="00366851" w:rsidRPr="00366851" w:rsidRDefault="00366851" w:rsidP="00366851">
            <w:pPr>
              <w:jc w:val="center"/>
              <w:rPr>
                <w:rFonts w:ascii="Arial" w:eastAsia="Arial" w:hAnsi="Arial" w:cs="Arial"/>
                <w:b/>
                <w:sz w:val="18"/>
                <w:szCs w:val="18"/>
                <w:vertAlign w:val="superscript"/>
                <w:lang w:val="fr-FR"/>
              </w:rPr>
            </w:pPr>
            <w:r>
              <w:rPr>
                <w:rFonts w:ascii="Arial" w:eastAsia="Arial" w:hAnsi="Arial" w:cs="Arial"/>
                <w:b/>
                <w:sz w:val="18"/>
                <w:lang w:val="fr-FR"/>
              </w:rPr>
              <w:t>Symptômes</w:t>
            </w:r>
            <w:r w:rsidRPr="00366851">
              <w:rPr>
                <w:rFonts w:ascii="Arial" w:eastAsia="Arial" w:hAnsi="Arial" w:cs="Arial"/>
                <w:sz w:val="18"/>
                <w:szCs w:val="18"/>
                <w:vertAlign w:val="superscript"/>
                <w:lang w:val="fr-FR"/>
              </w:rPr>
              <w:t>1</w:t>
            </w:r>
          </w:p>
        </w:tc>
        <w:tc>
          <w:tcPr>
            <w:tcW w:w="2835" w:type="dxa"/>
            <w:vAlign w:val="center"/>
          </w:tcPr>
          <w:p w14:paraId="278D1680" w14:textId="77777777" w:rsidR="00366851" w:rsidRPr="00366851" w:rsidRDefault="00366851" w:rsidP="00366851">
            <w:pPr>
              <w:jc w:val="center"/>
              <w:rPr>
                <w:rFonts w:ascii="Arial" w:eastAsia="Arial" w:hAnsi="Arial" w:cs="Arial"/>
                <w:b/>
                <w:sz w:val="18"/>
                <w:szCs w:val="18"/>
                <w:lang w:val="fr-FR"/>
              </w:rPr>
            </w:pPr>
            <w:r>
              <w:rPr>
                <w:rFonts w:ascii="Arial" w:eastAsia="Arial" w:hAnsi="Arial" w:cs="Arial"/>
                <w:b/>
                <w:sz w:val="18"/>
                <w:lang w:val="fr-FR"/>
              </w:rPr>
              <w:t>Impacts</w:t>
            </w:r>
            <w:r w:rsidRPr="00366851">
              <w:rPr>
                <w:rFonts w:ascii="Arial" w:eastAsia="Arial" w:hAnsi="Arial" w:cs="Arial"/>
                <w:sz w:val="18"/>
                <w:szCs w:val="18"/>
                <w:vertAlign w:val="superscript"/>
                <w:lang w:val="fr-FR"/>
              </w:rPr>
              <w:t>2</w:t>
            </w:r>
          </w:p>
        </w:tc>
      </w:tr>
      <w:tr w:rsidR="00366851" w:rsidRPr="00366851" w14:paraId="57529502" w14:textId="77777777" w:rsidTr="00A37BC7">
        <w:trPr>
          <w:cantSplit/>
          <w:trHeight w:val="1385"/>
        </w:trPr>
        <w:tc>
          <w:tcPr>
            <w:tcW w:w="1597" w:type="dxa"/>
            <w:shd w:val="clear" w:color="auto" w:fill="auto"/>
            <w:vAlign w:val="center"/>
          </w:tcPr>
          <w:p w14:paraId="53A14670"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Ascaridiase (ver rond)</w:t>
            </w:r>
          </w:p>
        </w:tc>
        <w:tc>
          <w:tcPr>
            <w:tcW w:w="1063" w:type="dxa"/>
            <w:vAlign w:val="center"/>
          </w:tcPr>
          <w:p w14:paraId="6D182847"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Helminthe</w:t>
            </w:r>
          </w:p>
        </w:tc>
        <w:tc>
          <w:tcPr>
            <w:tcW w:w="1843" w:type="dxa"/>
            <w:shd w:val="clear" w:color="auto" w:fill="auto"/>
            <w:vAlign w:val="center"/>
          </w:tcPr>
          <w:p w14:paraId="52CE13B8"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Assainissement</w:t>
            </w:r>
          </w:p>
          <w:p w14:paraId="46D75149"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Hygiène</w:t>
            </w:r>
          </w:p>
        </w:tc>
        <w:tc>
          <w:tcPr>
            <w:tcW w:w="1984" w:type="dxa"/>
            <w:shd w:val="clear" w:color="auto" w:fill="auto"/>
            <w:vAlign w:val="center"/>
          </w:tcPr>
          <w:p w14:paraId="4D563662"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Souvent pas de symptômes. Il peut y avoir une douleur d'estomac et une toux causée par la migration des vers dans le corps</w:t>
            </w:r>
          </w:p>
        </w:tc>
        <w:tc>
          <w:tcPr>
            <w:tcW w:w="2835" w:type="dxa"/>
            <w:vAlign w:val="center"/>
          </w:tcPr>
          <w:p w14:paraId="7F7137C5"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Chez les </w:t>
            </w:r>
            <w:r w:rsidRPr="00366851">
              <w:rPr>
                <w:rFonts w:ascii="Arial" w:eastAsia="Arial" w:hAnsi="Arial" w:cs="Arial"/>
                <w:b/>
                <w:sz w:val="18"/>
                <w:szCs w:val="18"/>
                <w:lang w:val="fr-FR"/>
              </w:rPr>
              <w:t>femmes enceintes</w:t>
            </w:r>
            <w:r>
              <w:rPr>
                <w:rFonts w:ascii="Arial" w:eastAsia="Arial" w:hAnsi="Arial" w:cs="Arial"/>
                <w:sz w:val="18"/>
                <w:lang w:val="fr-FR"/>
              </w:rPr>
              <w:t xml:space="preserve"> et les </w:t>
            </w:r>
            <w:r w:rsidRPr="00366851">
              <w:rPr>
                <w:rFonts w:ascii="Arial" w:eastAsia="Arial" w:hAnsi="Arial" w:cs="Arial"/>
                <w:b/>
                <w:sz w:val="18"/>
                <w:szCs w:val="18"/>
                <w:lang w:val="fr-FR"/>
              </w:rPr>
              <w:t>enfants</w:t>
            </w:r>
            <w:r>
              <w:rPr>
                <w:rFonts w:ascii="Arial" w:eastAsia="Arial" w:hAnsi="Arial" w:cs="Arial"/>
                <w:sz w:val="18"/>
                <w:lang w:val="fr-FR"/>
              </w:rPr>
              <w:t xml:space="preserve">, la maladie provoque l'anémie. </w:t>
            </w:r>
          </w:p>
          <w:p w14:paraId="35758F88"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b/>
                <w:sz w:val="18"/>
                <w:lang w:val="fr-FR"/>
              </w:rPr>
              <w:t>Les femmes enceintes</w:t>
            </w:r>
            <w:r w:rsidRPr="00366851">
              <w:rPr>
                <w:rFonts w:ascii="Arial" w:eastAsia="Arial" w:hAnsi="Arial" w:cs="Arial"/>
                <w:sz w:val="18"/>
                <w:szCs w:val="18"/>
                <w:lang w:val="fr-FR"/>
              </w:rPr>
              <w:t xml:space="preserve"> et les </w:t>
            </w:r>
            <w:r>
              <w:rPr>
                <w:rFonts w:ascii="Arial" w:eastAsia="Arial" w:hAnsi="Arial" w:cs="Arial"/>
                <w:b/>
                <w:sz w:val="18"/>
                <w:lang w:val="fr-FR"/>
              </w:rPr>
              <w:t>enfants</w:t>
            </w:r>
            <w:r w:rsidRPr="00366851">
              <w:rPr>
                <w:rFonts w:ascii="Arial" w:eastAsia="Arial" w:hAnsi="Arial" w:cs="Arial"/>
                <w:sz w:val="18"/>
                <w:szCs w:val="18"/>
                <w:lang w:val="fr-FR"/>
              </w:rPr>
              <w:t xml:space="preserve"> qui souffrent d'anémie ont plus de risques de mourir.</w:t>
            </w:r>
            <w:r>
              <w:rPr>
                <w:rFonts w:ascii="Arial" w:eastAsia="Arial" w:hAnsi="Arial" w:cs="Arial"/>
                <w:b/>
                <w:sz w:val="18"/>
                <w:lang w:val="fr-FR"/>
              </w:rPr>
              <w:t xml:space="preserve"> </w:t>
            </w:r>
          </w:p>
          <w:p w14:paraId="7A101DC2" w14:textId="77777777" w:rsidR="00366851" w:rsidRPr="00366851" w:rsidRDefault="00366851" w:rsidP="00D70FAB">
            <w:pPr>
              <w:numPr>
                <w:ilvl w:val="0"/>
                <w:numId w:val="6"/>
              </w:numPr>
              <w:ind w:left="173" w:hanging="180"/>
              <w:contextualSpacing/>
              <w:rPr>
                <w:rFonts w:ascii="Arial" w:eastAsia="Arial" w:hAnsi="Arial" w:cs="Arial"/>
                <w:sz w:val="18"/>
                <w:szCs w:val="18"/>
                <w:lang w:val="fr-FR"/>
              </w:rPr>
            </w:pPr>
            <w:r>
              <w:rPr>
                <w:rFonts w:ascii="Arial" w:eastAsia="Arial" w:hAnsi="Arial" w:cs="Arial"/>
                <w:sz w:val="18"/>
                <w:lang w:val="fr-FR"/>
              </w:rPr>
              <w:t xml:space="preserve">Impacte la croissance et le développement cognitif des </w:t>
            </w:r>
            <w:r w:rsidRPr="00366851">
              <w:rPr>
                <w:rFonts w:ascii="Arial" w:eastAsia="Arial" w:hAnsi="Arial" w:cs="Arial"/>
                <w:b/>
                <w:sz w:val="18"/>
                <w:szCs w:val="18"/>
                <w:lang w:val="fr-FR"/>
              </w:rPr>
              <w:t>enfants</w:t>
            </w:r>
            <w:r>
              <w:rPr>
                <w:rFonts w:ascii="Arial" w:eastAsia="Arial" w:hAnsi="Arial" w:cs="Arial"/>
                <w:sz w:val="18"/>
                <w:lang w:val="fr-FR"/>
              </w:rPr>
              <w:t>.</w:t>
            </w:r>
          </w:p>
        </w:tc>
      </w:tr>
      <w:tr w:rsidR="00366851" w:rsidRPr="00366851" w14:paraId="4B79AE20" w14:textId="77777777" w:rsidTr="00A37BC7">
        <w:trPr>
          <w:cantSplit/>
          <w:trHeight w:val="1385"/>
        </w:trPr>
        <w:tc>
          <w:tcPr>
            <w:tcW w:w="1597" w:type="dxa"/>
            <w:shd w:val="clear" w:color="auto" w:fill="auto"/>
            <w:vAlign w:val="center"/>
          </w:tcPr>
          <w:p w14:paraId="162B5F8C"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Choléra</w:t>
            </w:r>
          </w:p>
        </w:tc>
        <w:tc>
          <w:tcPr>
            <w:tcW w:w="1063" w:type="dxa"/>
            <w:vAlign w:val="center"/>
          </w:tcPr>
          <w:p w14:paraId="18FD2DF7"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Bactérie</w:t>
            </w:r>
          </w:p>
        </w:tc>
        <w:tc>
          <w:tcPr>
            <w:tcW w:w="1843" w:type="dxa"/>
            <w:shd w:val="clear" w:color="auto" w:fill="auto"/>
            <w:vAlign w:val="center"/>
          </w:tcPr>
          <w:p w14:paraId="43D927BC"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Eau</w:t>
            </w:r>
          </w:p>
          <w:p w14:paraId="7CD62A50"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Assainissement</w:t>
            </w:r>
          </w:p>
          <w:p w14:paraId="3F224928"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Hygiène</w:t>
            </w:r>
          </w:p>
        </w:tc>
        <w:tc>
          <w:tcPr>
            <w:tcW w:w="1984" w:type="dxa"/>
            <w:shd w:val="clear" w:color="auto" w:fill="auto"/>
            <w:vAlign w:val="center"/>
          </w:tcPr>
          <w:p w14:paraId="215D5462"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Diarrhée aqueuse, fièvre, déshydratation sévère</w:t>
            </w:r>
          </w:p>
        </w:tc>
        <w:tc>
          <w:tcPr>
            <w:tcW w:w="2835" w:type="dxa"/>
            <w:vAlign w:val="center"/>
          </w:tcPr>
          <w:p w14:paraId="147AE6B5" w14:textId="77777777" w:rsidR="00366851" w:rsidRPr="00366851" w:rsidRDefault="00366851" w:rsidP="00D70FAB">
            <w:pPr>
              <w:numPr>
                <w:ilvl w:val="0"/>
                <w:numId w:val="6"/>
              </w:numPr>
              <w:ind w:left="173" w:hanging="180"/>
              <w:contextualSpacing/>
              <w:rPr>
                <w:rFonts w:ascii="Arial" w:eastAsia="Arial" w:hAnsi="Arial" w:cs="Arial"/>
                <w:sz w:val="18"/>
                <w:szCs w:val="18"/>
                <w:lang w:val="fr-FR"/>
              </w:rPr>
            </w:pPr>
            <w:r>
              <w:rPr>
                <w:rFonts w:ascii="Arial" w:eastAsia="Arial" w:hAnsi="Arial" w:cs="Arial"/>
                <w:sz w:val="18"/>
                <w:lang w:val="fr-FR"/>
              </w:rPr>
              <w:t xml:space="preserve">Chez les </w:t>
            </w:r>
            <w:r w:rsidRPr="00366851">
              <w:rPr>
                <w:rFonts w:ascii="Arial" w:eastAsia="Arial" w:hAnsi="Arial" w:cs="Arial"/>
                <w:b/>
                <w:sz w:val="18"/>
                <w:szCs w:val="18"/>
                <w:lang w:val="fr-FR"/>
              </w:rPr>
              <w:t>femmes enceintes, les nouveau-nés</w:t>
            </w:r>
            <w:r>
              <w:rPr>
                <w:rFonts w:ascii="Arial" w:eastAsia="Arial" w:hAnsi="Arial" w:cs="Arial"/>
                <w:sz w:val="18"/>
                <w:lang w:val="fr-FR"/>
              </w:rPr>
              <w:t xml:space="preserve"> et les </w:t>
            </w:r>
            <w:r w:rsidRPr="00366851">
              <w:rPr>
                <w:rFonts w:ascii="Arial" w:eastAsia="Arial" w:hAnsi="Arial" w:cs="Arial"/>
                <w:b/>
                <w:sz w:val="18"/>
                <w:szCs w:val="18"/>
                <w:lang w:val="fr-FR"/>
              </w:rPr>
              <w:t>enfants</w:t>
            </w:r>
            <w:r>
              <w:rPr>
                <w:rFonts w:ascii="Arial" w:eastAsia="Arial" w:hAnsi="Arial" w:cs="Arial"/>
                <w:sz w:val="18"/>
                <w:lang w:val="fr-FR"/>
              </w:rPr>
              <w:t xml:space="preserve">, le risque de mort est plus élevé. </w:t>
            </w:r>
          </w:p>
          <w:p w14:paraId="49F15C95" w14:textId="77777777" w:rsidR="00366851" w:rsidRPr="00366851" w:rsidRDefault="00366851" w:rsidP="00D70FAB">
            <w:pPr>
              <w:numPr>
                <w:ilvl w:val="0"/>
                <w:numId w:val="6"/>
              </w:numPr>
              <w:ind w:left="173" w:hanging="180"/>
              <w:contextualSpacing/>
              <w:rPr>
                <w:rFonts w:ascii="Arial" w:eastAsia="Arial" w:hAnsi="Arial" w:cs="Arial"/>
                <w:sz w:val="18"/>
                <w:szCs w:val="18"/>
                <w:lang w:val="fr-FR"/>
              </w:rPr>
            </w:pPr>
            <w:r>
              <w:rPr>
                <w:rFonts w:ascii="Arial" w:eastAsia="Arial" w:hAnsi="Arial" w:cs="Arial"/>
                <w:sz w:val="18"/>
                <w:lang w:val="fr-FR"/>
              </w:rPr>
              <w:t xml:space="preserve">Les </w:t>
            </w:r>
            <w:r w:rsidRPr="00366851">
              <w:rPr>
                <w:rFonts w:ascii="Arial" w:eastAsia="Arial" w:hAnsi="Arial" w:cs="Arial"/>
                <w:b/>
                <w:sz w:val="18"/>
                <w:szCs w:val="18"/>
                <w:lang w:val="fr-FR"/>
              </w:rPr>
              <w:t>bébés</w:t>
            </w:r>
            <w:r>
              <w:rPr>
                <w:rFonts w:ascii="Arial" w:eastAsia="Arial" w:hAnsi="Arial" w:cs="Arial"/>
                <w:sz w:val="18"/>
                <w:lang w:val="fr-FR"/>
              </w:rPr>
              <w:t xml:space="preserve"> ont plus de risques de naître prématurés</w:t>
            </w:r>
            <w:r w:rsidRPr="00366851">
              <w:rPr>
                <w:rFonts w:ascii="Arial" w:eastAsia="Arial" w:hAnsi="Arial" w:cs="Arial"/>
                <w:sz w:val="18"/>
                <w:szCs w:val="18"/>
                <w:vertAlign w:val="superscript"/>
                <w:lang w:val="fr-FR"/>
              </w:rPr>
              <w:t>3</w:t>
            </w:r>
            <w:r>
              <w:rPr>
                <w:rFonts w:ascii="Arial" w:eastAsia="Arial" w:hAnsi="Arial" w:cs="Arial"/>
                <w:sz w:val="18"/>
                <w:lang w:val="fr-FR"/>
              </w:rPr>
              <w:t>.</w:t>
            </w:r>
          </w:p>
        </w:tc>
      </w:tr>
      <w:tr w:rsidR="00366851" w:rsidRPr="00366851" w14:paraId="2EE42861" w14:textId="77777777" w:rsidTr="00A37BC7">
        <w:trPr>
          <w:cantSplit/>
          <w:trHeight w:val="1160"/>
        </w:trPr>
        <w:tc>
          <w:tcPr>
            <w:tcW w:w="1597" w:type="dxa"/>
            <w:shd w:val="clear" w:color="auto" w:fill="auto"/>
            <w:vAlign w:val="center"/>
          </w:tcPr>
          <w:p w14:paraId="1619CDFB"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Cryptosporidiose</w:t>
            </w:r>
          </w:p>
        </w:tc>
        <w:tc>
          <w:tcPr>
            <w:tcW w:w="1063" w:type="dxa"/>
            <w:vAlign w:val="center"/>
          </w:tcPr>
          <w:p w14:paraId="76FFCD2E"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Protozoaires</w:t>
            </w:r>
          </w:p>
        </w:tc>
        <w:tc>
          <w:tcPr>
            <w:tcW w:w="1843" w:type="dxa"/>
            <w:shd w:val="clear" w:color="auto" w:fill="auto"/>
            <w:vAlign w:val="center"/>
          </w:tcPr>
          <w:p w14:paraId="4E6F43FD" w14:textId="77777777" w:rsidR="00366851" w:rsidRPr="00366851" w:rsidRDefault="00366851" w:rsidP="00D70FAB">
            <w:pPr>
              <w:numPr>
                <w:ilvl w:val="0"/>
                <w:numId w:val="15"/>
              </w:numPr>
              <w:ind w:left="175" w:hanging="175"/>
              <w:contextualSpacing/>
              <w:rPr>
                <w:rFonts w:ascii="Arial" w:eastAsia="Arial" w:hAnsi="Arial" w:cs="Arial"/>
                <w:sz w:val="18"/>
                <w:szCs w:val="18"/>
                <w:lang w:val="fr-FR"/>
              </w:rPr>
            </w:pPr>
            <w:r>
              <w:rPr>
                <w:rFonts w:ascii="Arial" w:eastAsia="Arial" w:hAnsi="Arial" w:cs="Arial"/>
                <w:sz w:val="18"/>
                <w:lang w:val="fr-FR"/>
              </w:rPr>
              <w:t>Eau</w:t>
            </w:r>
          </w:p>
          <w:p w14:paraId="1D901881" w14:textId="77777777" w:rsidR="00366851" w:rsidRPr="00366851" w:rsidRDefault="00366851" w:rsidP="00D70FAB">
            <w:pPr>
              <w:numPr>
                <w:ilvl w:val="0"/>
                <w:numId w:val="15"/>
              </w:numPr>
              <w:ind w:left="175" w:hanging="175"/>
              <w:contextualSpacing/>
              <w:rPr>
                <w:rFonts w:ascii="Arial" w:eastAsia="Arial" w:hAnsi="Arial" w:cs="Arial"/>
                <w:sz w:val="18"/>
                <w:szCs w:val="18"/>
                <w:lang w:val="fr-FR"/>
              </w:rPr>
            </w:pPr>
            <w:r>
              <w:rPr>
                <w:rFonts w:ascii="Arial" w:eastAsia="Arial" w:hAnsi="Arial" w:cs="Arial"/>
                <w:sz w:val="18"/>
                <w:lang w:val="fr-FR"/>
              </w:rPr>
              <w:t>Assainissement</w:t>
            </w:r>
          </w:p>
        </w:tc>
        <w:tc>
          <w:tcPr>
            <w:tcW w:w="1984" w:type="dxa"/>
            <w:shd w:val="clear" w:color="auto" w:fill="auto"/>
            <w:vAlign w:val="center"/>
          </w:tcPr>
          <w:p w14:paraId="3C08CD4D" w14:textId="6012FB84" w:rsidR="00366851" w:rsidRPr="00366851" w:rsidRDefault="00366851" w:rsidP="004A5A5C">
            <w:pPr>
              <w:rPr>
                <w:rFonts w:ascii="Arial" w:eastAsia="Arial" w:hAnsi="Arial" w:cs="Arial"/>
                <w:sz w:val="18"/>
                <w:szCs w:val="18"/>
                <w:lang w:val="fr-FR"/>
              </w:rPr>
            </w:pPr>
            <w:r>
              <w:rPr>
                <w:rFonts w:ascii="Arial" w:eastAsia="Arial" w:hAnsi="Arial" w:cs="Arial"/>
                <w:sz w:val="18"/>
                <w:lang w:val="fr-FR"/>
              </w:rPr>
              <w:t>Diarrhée (souvent sévère et persistante</w:t>
            </w:r>
            <w:r w:rsidRPr="00366851">
              <w:rPr>
                <w:rFonts w:ascii="Arial" w:eastAsia="Arial" w:hAnsi="Arial" w:cs="Arial"/>
                <w:sz w:val="18"/>
                <w:szCs w:val="18"/>
                <w:vertAlign w:val="superscript"/>
                <w:lang w:val="fr-FR"/>
              </w:rPr>
              <w:t>4</w:t>
            </w:r>
            <w:r>
              <w:rPr>
                <w:rFonts w:ascii="Arial" w:eastAsia="Arial" w:hAnsi="Arial" w:cs="Arial"/>
                <w:sz w:val="18"/>
                <w:lang w:val="fr-FR"/>
              </w:rPr>
              <w:t>)</w:t>
            </w:r>
          </w:p>
        </w:tc>
        <w:tc>
          <w:tcPr>
            <w:tcW w:w="2835" w:type="dxa"/>
            <w:vAlign w:val="center"/>
          </w:tcPr>
          <w:p w14:paraId="38B8E4E8" w14:textId="77777777" w:rsidR="00366851" w:rsidRPr="00366851" w:rsidRDefault="00366851" w:rsidP="00D70FAB">
            <w:pPr>
              <w:numPr>
                <w:ilvl w:val="0"/>
                <w:numId w:val="6"/>
              </w:numPr>
              <w:ind w:left="173" w:hanging="180"/>
              <w:contextualSpacing/>
              <w:rPr>
                <w:rFonts w:ascii="Arial" w:eastAsia="Arial" w:hAnsi="Arial" w:cs="Arial"/>
                <w:sz w:val="18"/>
                <w:szCs w:val="18"/>
                <w:lang w:val="fr-FR"/>
              </w:rPr>
            </w:pPr>
            <w:r>
              <w:rPr>
                <w:rFonts w:ascii="Arial" w:eastAsia="Arial" w:hAnsi="Arial" w:cs="Arial"/>
                <w:sz w:val="18"/>
                <w:lang w:val="fr-FR"/>
              </w:rPr>
              <w:t xml:space="preserve">Les </w:t>
            </w:r>
            <w:r w:rsidRPr="00366851">
              <w:rPr>
                <w:rFonts w:ascii="Arial" w:eastAsia="Arial" w:hAnsi="Arial" w:cs="Arial"/>
                <w:b/>
                <w:sz w:val="18"/>
                <w:szCs w:val="18"/>
                <w:lang w:val="fr-FR"/>
              </w:rPr>
              <w:t>femmes enceintes</w:t>
            </w:r>
            <w:r>
              <w:rPr>
                <w:rFonts w:ascii="Arial" w:eastAsia="Arial" w:hAnsi="Arial" w:cs="Arial"/>
                <w:sz w:val="18"/>
                <w:lang w:val="fr-FR"/>
              </w:rPr>
              <w:t xml:space="preserve"> et </w:t>
            </w:r>
            <w:r w:rsidRPr="00366851">
              <w:rPr>
                <w:rFonts w:ascii="Arial" w:eastAsia="Arial" w:hAnsi="Arial" w:cs="Arial"/>
                <w:b/>
                <w:sz w:val="18"/>
                <w:szCs w:val="18"/>
                <w:lang w:val="fr-FR"/>
              </w:rPr>
              <w:t xml:space="preserve">les enfants </w:t>
            </w:r>
            <w:r>
              <w:rPr>
                <w:rFonts w:ascii="Arial" w:eastAsia="Arial" w:hAnsi="Arial" w:cs="Arial"/>
                <w:sz w:val="18"/>
                <w:lang w:val="fr-FR"/>
              </w:rPr>
              <w:t xml:space="preserve">qui vivent avec le VIH/SIDA ont plus de risques de mourir. </w:t>
            </w:r>
          </w:p>
          <w:p w14:paraId="28325B45" w14:textId="77777777" w:rsidR="00366851" w:rsidRPr="00366851" w:rsidRDefault="00366851" w:rsidP="00D70FAB">
            <w:pPr>
              <w:numPr>
                <w:ilvl w:val="0"/>
                <w:numId w:val="6"/>
              </w:numPr>
              <w:ind w:left="173" w:hanging="180"/>
              <w:contextualSpacing/>
              <w:rPr>
                <w:rFonts w:ascii="Arial" w:eastAsia="Arial" w:hAnsi="Arial" w:cs="Arial"/>
                <w:sz w:val="18"/>
                <w:szCs w:val="18"/>
                <w:lang w:val="fr-FR"/>
              </w:rPr>
            </w:pPr>
            <w:r>
              <w:rPr>
                <w:rFonts w:ascii="Arial" w:eastAsia="Arial" w:hAnsi="Arial" w:cs="Arial"/>
                <w:sz w:val="18"/>
                <w:lang w:val="fr-FR"/>
              </w:rPr>
              <w:t xml:space="preserve">Impacte la croissance et le développement cognitif des </w:t>
            </w:r>
            <w:r w:rsidRPr="00366851">
              <w:rPr>
                <w:rFonts w:ascii="Arial" w:eastAsia="Arial" w:hAnsi="Arial" w:cs="Arial"/>
                <w:b/>
                <w:sz w:val="18"/>
                <w:szCs w:val="18"/>
                <w:lang w:val="fr-FR"/>
              </w:rPr>
              <w:t>enfants</w:t>
            </w:r>
            <w:r>
              <w:rPr>
                <w:rFonts w:ascii="Arial" w:eastAsia="Arial" w:hAnsi="Arial" w:cs="Arial"/>
                <w:sz w:val="18"/>
                <w:lang w:val="fr-FR"/>
              </w:rPr>
              <w:t>.</w:t>
            </w:r>
          </w:p>
        </w:tc>
      </w:tr>
      <w:tr w:rsidR="00366851" w:rsidRPr="00366851" w14:paraId="22118BBD" w14:textId="77777777" w:rsidTr="00A37BC7">
        <w:trPr>
          <w:cantSplit/>
          <w:trHeight w:val="1160"/>
        </w:trPr>
        <w:tc>
          <w:tcPr>
            <w:tcW w:w="1597" w:type="dxa"/>
            <w:shd w:val="clear" w:color="auto" w:fill="auto"/>
            <w:vAlign w:val="center"/>
          </w:tcPr>
          <w:p w14:paraId="01EDE191"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lastRenderedPageBreak/>
              <w:t>Giardiase</w:t>
            </w:r>
          </w:p>
        </w:tc>
        <w:tc>
          <w:tcPr>
            <w:tcW w:w="1063" w:type="dxa"/>
            <w:vAlign w:val="center"/>
          </w:tcPr>
          <w:p w14:paraId="1DF3205D"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Protozoaires</w:t>
            </w:r>
          </w:p>
        </w:tc>
        <w:tc>
          <w:tcPr>
            <w:tcW w:w="1843" w:type="dxa"/>
            <w:shd w:val="clear" w:color="auto" w:fill="auto"/>
            <w:vAlign w:val="center"/>
          </w:tcPr>
          <w:p w14:paraId="132D5B78"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Eau</w:t>
            </w:r>
          </w:p>
          <w:p w14:paraId="4E1AC03E"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Assainissement</w:t>
            </w:r>
          </w:p>
          <w:p w14:paraId="734DE675"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Hygiène</w:t>
            </w:r>
          </w:p>
        </w:tc>
        <w:tc>
          <w:tcPr>
            <w:tcW w:w="1984" w:type="dxa"/>
            <w:shd w:val="clear" w:color="auto" w:fill="auto"/>
            <w:vAlign w:val="center"/>
          </w:tcPr>
          <w:p w14:paraId="0E8F11D7"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Diarrhée, douleurs d'estomac</w:t>
            </w:r>
          </w:p>
        </w:tc>
        <w:tc>
          <w:tcPr>
            <w:tcW w:w="2835" w:type="dxa"/>
            <w:vAlign w:val="center"/>
          </w:tcPr>
          <w:p w14:paraId="21AC17FC"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Chez les </w:t>
            </w:r>
            <w:r w:rsidRPr="00366851">
              <w:rPr>
                <w:rFonts w:ascii="Arial" w:eastAsia="Arial" w:hAnsi="Arial" w:cs="Arial"/>
                <w:b/>
                <w:sz w:val="18"/>
                <w:szCs w:val="18"/>
                <w:lang w:val="fr-FR"/>
              </w:rPr>
              <w:t>femmes enceintes</w:t>
            </w:r>
            <w:r>
              <w:rPr>
                <w:rFonts w:ascii="Arial" w:eastAsia="Arial" w:hAnsi="Arial" w:cs="Arial"/>
                <w:sz w:val="18"/>
                <w:lang w:val="fr-FR"/>
              </w:rPr>
              <w:t xml:space="preserve">, entraine une mauvaise absorption des nutriments. </w:t>
            </w:r>
          </w:p>
          <w:p w14:paraId="6220DED5"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Liée aux déficiences en zinc et à la diarrhée chronique chez les </w:t>
            </w:r>
            <w:r w:rsidRPr="00366851">
              <w:rPr>
                <w:rFonts w:ascii="Arial" w:eastAsia="Arial" w:hAnsi="Arial" w:cs="Arial"/>
                <w:b/>
                <w:sz w:val="18"/>
                <w:szCs w:val="18"/>
                <w:lang w:val="fr-FR"/>
              </w:rPr>
              <w:t>enfants</w:t>
            </w:r>
            <w:r>
              <w:rPr>
                <w:rFonts w:ascii="Arial" w:eastAsia="Arial" w:hAnsi="Arial" w:cs="Arial"/>
                <w:sz w:val="18"/>
                <w:lang w:val="fr-FR"/>
              </w:rPr>
              <w:t>.</w:t>
            </w:r>
          </w:p>
        </w:tc>
      </w:tr>
      <w:tr w:rsidR="00366851" w:rsidRPr="00366851" w14:paraId="07B6C709" w14:textId="77777777" w:rsidTr="00A37BC7">
        <w:trPr>
          <w:cantSplit/>
          <w:trHeight w:val="1520"/>
        </w:trPr>
        <w:tc>
          <w:tcPr>
            <w:tcW w:w="1597" w:type="dxa"/>
            <w:shd w:val="clear" w:color="auto" w:fill="auto"/>
            <w:vAlign w:val="center"/>
          </w:tcPr>
          <w:p w14:paraId="162A9CE4"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Hépatite E</w:t>
            </w:r>
          </w:p>
        </w:tc>
        <w:tc>
          <w:tcPr>
            <w:tcW w:w="1063" w:type="dxa"/>
            <w:vAlign w:val="center"/>
          </w:tcPr>
          <w:p w14:paraId="7BD19863"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Virus</w:t>
            </w:r>
          </w:p>
        </w:tc>
        <w:tc>
          <w:tcPr>
            <w:tcW w:w="1843" w:type="dxa"/>
            <w:shd w:val="clear" w:color="auto" w:fill="auto"/>
            <w:vAlign w:val="center"/>
          </w:tcPr>
          <w:p w14:paraId="32D00BB2"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Eau</w:t>
            </w:r>
          </w:p>
          <w:p w14:paraId="725D7DB5"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Assainissement</w:t>
            </w:r>
          </w:p>
          <w:p w14:paraId="07AC84FD"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Hygiène</w:t>
            </w:r>
          </w:p>
        </w:tc>
        <w:tc>
          <w:tcPr>
            <w:tcW w:w="1984" w:type="dxa"/>
            <w:shd w:val="clear" w:color="auto" w:fill="auto"/>
            <w:vAlign w:val="center"/>
          </w:tcPr>
          <w:p w14:paraId="007697AF"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Diarrhée, fatigue excessive, manque d’appétit</w:t>
            </w:r>
          </w:p>
        </w:tc>
        <w:tc>
          <w:tcPr>
            <w:tcW w:w="2835" w:type="dxa"/>
            <w:vAlign w:val="center"/>
          </w:tcPr>
          <w:p w14:paraId="4018F0FE" w14:textId="64D67564" w:rsidR="004B4FA9"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Chez les </w:t>
            </w:r>
            <w:r w:rsidRPr="00366851">
              <w:rPr>
                <w:rFonts w:ascii="Arial" w:eastAsia="Arial" w:hAnsi="Arial" w:cs="Arial"/>
                <w:b/>
                <w:sz w:val="18"/>
                <w:szCs w:val="18"/>
                <w:lang w:val="fr-FR"/>
              </w:rPr>
              <w:t>femmes enceintes</w:t>
            </w:r>
            <w:r>
              <w:rPr>
                <w:rFonts w:ascii="Arial" w:eastAsia="Arial" w:hAnsi="Arial" w:cs="Arial"/>
                <w:sz w:val="18"/>
                <w:lang w:val="fr-FR"/>
              </w:rPr>
              <w:t>, la maladie est plus grave, avec environ 20% des femmes qui meurent au cours du troisième trimestre.</w:t>
            </w:r>
          </w:p>
          <w:p w14:paraId="60A5C9C6" w14:textId="04FB3B5F"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b/>
                <w:sz w:val="18"/>
                <w:lang w:val="fr-FR"/>
              </w:rPr>
              <w:t>Les bébés</w:t>
            </w:r>
            <w:r w:rsidRPr="00366851">
              <w:rPr>
                <w:rFonts w:ascii="Arial" w:eastAsia="Arial" w:hAnsi="Arial" w:cs="Arial"/>
                <w:sz w:val="18"/>
                <w:szCs w:val="18"/>
                <w:lang w:val="fr-FR"/>
              </w:rPr>
              <w:t xml:space="preserve"> ont plus de risques de mourir à la naissance ou de naître prématurés.</w:t>
            </w:r>
            <w:r>
              <w:rPr>
                <w:rFonts w:ascii="Arial" w:eastAsia="Arial" w:hAnsi="Arial" w:cs="Arial"/>
                <w:b/>
                <w:sz w:val="18"/>
                <w:lang w:val="fr-FR"/>
              </w:rPr>
              <w:t xml:space="preserve"> </w:t>
            </w:r>
          </w:p>
          <w:p w14:paraId="533A896C"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b/>
                <w:sz w:val="18"/>
                <w:lang w:val="fr-FR"/>
              </w:rPr>
              <w:t>Les nouveau-nés</w:t>
            </w:r>
            <w:r w:rsidRPr="00366851">
              <w:rPr>
                <w:rFonts w:ascii="Arial" w:eastAsia="Arial" w:hAnsi="Arial" w:cs="Arial"/>
                <w:sz w:val="18"/>
                <w:szCs w:val="18"/>
                <w:lang w:val="fr-FR"/>
              </w:rPr>
              <w:t xml:space="preserve"> ont plus de risques de mourir.</w:t>
            </w:r>
          </w:p>
        </w:tc>
      </w:tr>
      <w:tr w:rsidR="00366851" w:rsidRPr="00366851" w14:paraId="06E4AD28" w14:textId="77777777" w:rsidTr="00A37BC7">
        <w:trPr>
          <w:cantSplit/>
          <w:trHeight w:val="1790"/>
        </w:trPr>
        <w:tc>
          <w:tcPr>
            <w:tcW w:w="1597" w:type="dxa"/>
            <w:shd w:val="clear" w:color="auto" w:fill="auto"/>
            <w:vAlign w:val="center"/>
          </w:tcPr>
          <w:p w14:paraId="09FE4CBC" w14:textId="17E2050F"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Ankylostome</w:t>
            </w:r>
          </w:p>
        </w:tc>
        <w:tc>
          <w:tcPr>
            <w:tcW w:w="1063" w:type="dxa"/>
            <w:vAlign w:val="center"/>
          </w:tcPr>
          <w:p w14:paraId="7BD27F11"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Helminthe</w:t>
            </w:r>
          </w:p>
        </w:tc>
        <w:tc>
          <w:tcPr>
            <w:tcW w:w="1843" w:type="dxa"/>
            <w:shd w:val="clear" w:color="auto" w:fill="auto"/>
            <w:vAlign w:val="center"/>
          </w:tcPr>
          <w:p w14:paraId="5561A6E9" w14:textId="77777777" w:rsidR="00366851" w:rsidRPr="00366851" w:rsidRDefault="00366851" w:rsidP="00D70FAB">
            <w:pPr>
              <w:numPr>
                <w:ilvl w:val="0"/>
                <w:numId w:val="16"/>
              </w:numPr>
              <w:ind w:left="175" w:hanging="175"/>
              <w:contextualSpacing/>
              <w:rPr>
                <w:rFonts w:ascii="Arial" w:eastAsia="Arial" w:hAnsi="Arial" w:cs="Arial"/>
                <w:sz w:val="18"/>
                <w:szCs w:val="18"/>
                <w:lang w:val="fr-FR"/>
              </w:rPr>
            </w:pPr>
            <w:r>
              <w:rPr>
                <w:rFonts w:ascii="Arial" w:eastAsia="Arial" w:hAnsi="Arial" w:cs="Arial"/>
                <w:sz w:val="18"/>
                <w:lang w:val="fr-FR"/>
              </w:rPr>
              <w:t>Assainissement</w:t>
            </w:r>
          </w:p>
          <w:p w14:paraId="1E4D1CAD" w14:textId="77777777" w:rsidR="00366851" w:rsidRPr="00366851" w:rsidRDefault="00366851" w:rsidP="00D70FAB">
            <w:pPr>
              <w:numPr>
                <w:ilvl w:val="0"/>
                <w:numId w:val="16"/>
              </w:numPr>
              <w:ind w:left="175" w:hanging="175"/>
              <w:contextualSpacing/>
              <w:rPr>
                <w:rFonts w:ascii="Arial" w:eastAsia="Arial" w:hAnsi="Arial" w:cs="Arial"/>
                <w:sz w:val="18"/>
                <w:szCs w:val="18"/>
                <w:lang w:val="fr-FR"/>
              </w:rPr>
            </w:pPr>
            <w:r>
              <w:rPr>
                <w:rFonts w:ascii="Arial" w:eastAsia="Arial" w:hAnsi="Arial" w:cs="Arial"/>
                <w:sz w:val="18"/>
                <w:lang w:val="fr-FR"/>
              </w:rPr>
              <w:t>Hygiène</w:t>
            </w:r>
          </w:p>
        </w:tc>
        <w:tc>
          <w:tcPr>
            <w:tcW w:w="1984" w:type="dxa"/>
            <w:shd w:val="clear" w:color="auto" w:fill="auto"/>
            <w:vAlign w:val="center"/>
          </w:tcPr>
          <w:p w14:paraId="0F51DF22"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Irritations, diarrhée, maux d'estomac, manque d'appétit</w:t>
            </w:r>
          </w:p>
        </w:tc>
        <w:tc>
          <w:tcPr>
            <w:tcW w:w="2835" w:type="dxa"/>
            <w:vAlign w:val="center"/>
          </w:tcPr>
          <w:p w14:paraId="52E9DD5D"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Chez les </w:t>
            </w:r>
            <w:r w:rsidRPr="00366851">
              <w:rPr>
                <w:rFonts w:ascii="Arial" w:eastAsia="Arial" w:hAnsi="Arial" w:cs="Arial"/>
                <w:b/>
                <w:sz w:val="18"/>
                <w:szCs w:val="18"/>
                <w:lang w:val="fr-FR"/>
              </w:rPr>
              <w:t>femmes enceintes</w:t>
            </w:r>
            <w:r>
              <w:rPr>
                <w:rFonts w:ascii="Arial" w:eastAsia="Arial" w:hAnsi="Arial" w:cs="Arial"/>
                <w:sz w:val="18"/>
                <w:lang w:val="fr-FR"/>
              </w:rPr>
              <w:t xml:space="preserve"> et les </w:t>
            </w:r>
            <w:r w:rsidRPr="00366851">
              <w:rPr>
                <w:rFonts w:ascii="Arial" w:eastAsia="Arial" w:hAnsi="Arial" w:cs="Arial"/>
                <w:b/>
                <w:sz w:val="18"/>
                <w:szCs w:val="18"/>
                <w:lang w:val="fr-FR"/>
              </w:rPr>
              <w:t>enfants</w:t>
            </w:r>
            <w:r>
              <w:rPr>
                <w:rFonts w:ascii="Arial" w:eastAsia="Arial" w:hAnsi="Arial" w:cs="Arial"/>
                <w:sz w:val="18"/>
                <w:lang w:val="fr-FR"/>
              </w:rPr>
              <w:t xml:space="preserve">, la maladie provoque l'anémie. </w:t>
            </w:r>
          </w:p>
          <w:p w14:paraId="70DE1398"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b/>
                <w:sz w:val="18"/>
                <w:lang w:val="fr-FR"/>
              </w:rPr>
              <w:t xml:space="preserve">Les </w:t>
            </w:r>
            <w:r w:rsidRPr="00366851">
              <w:rPr>
                <w:rFonts w:ascii="Arial" w:eastAsia="Arial" w:hAnsi="Arial" w:cs="Arial"/>
                <w:sz w:val="18"/>
                <w:szCs w:val="18"/>
                <w:lang w:val="fr-FR"/>
              </w:rPr>
              <w:t>femmes enceintes</w:t>
            </w:r>
            <w:r>
              <w:rPr>
                <w:rFonts w:ascii="Arial" w:eastAsia="Arial" w:hAnsi="Arial" w:cs="Arial"/>
                <w:b/>
                <w:sz w:val="18"/>
                <w:lang w:val="fr-FR"/>
              </w:rPr>
              <w:t xml:space="preserve"> et les </w:t>
            </w:r>
            <w:r w:rsidRPr="00366851">
              <w:rPr>
                <w:rFonts w:ascii="Arial" w:eastAsia="Arial" w:hAnsi="Arial" w:cs="Arial"/>
                <w:sz w:val="18"/>
                <w:szCs w:val="18"/>
                <w:lang w:val="fr-FR"/>
              </w:rPr>
              <w:t>enfants</w:t>
            </w:r>
            <w:r>
              <w:rPr>
                <w:rFonts w:ascii="Arial" w:eastAsia="Arial" w:hAnsi="Arial" w:cs="Arial"/>
                <w:b/>
                <w:sz w:val="18"/>
                <w:lang w:val="fr-FR"/>
              </w:rPr>
              <w:t xml:space="preserve"> qui souffrent d'anémie ont plus de risques de mourir. </w:t>
            </w:r>
          </w:p>
          <w:p w14:paraId="12A2B41E"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Impacte la croissance et le développement cognitif des </w:t>
            </w:r>
            <w:r w:rsidRPr="00366851">
              <w:rPr>
                <w:rFonts w:ascii="Arial" w:eastAsia="Arial" w:hAnsi="Arial" w:cs="Arial"/>
                <w:b/>
                <w:sz w:val="18"/>
                <w:szCs w:val="18"/>
                <w:lang w:val="fr-FR"/>
              </w:rPr>
              <w:t>enfants</w:t>
            </w:r>
            <w:r>
              <w:rPr>
                <w:rFonts w:ascii="Arial" w:eastAsia="Arial" w:hAnsi="Arial" w:cs="Arial"/>
                <w:sz w:val="18"/>
                <w:lang w:val="fr-FR"/>
              </w:rPr>
              <w:t>.</w:t>
            </w:r>
          </w:p>
        </w:tc>
      </w:tr>
      <w:tr w:rsidR="00366851" w:rsidRPr="00366851" w14:paraId="785F3956" w14:textId="77777777" w:rsidTr="00A37BC7">
        <w:trPr>
          <w:cantSplit/>
          <w:trHeight w:val="267"/>
        </w:trPr>
        <w:tc>
          <w:tcPr>
            <w:tcW w:w="1597" w:type="dxa"/>
            <w:shd w:val="clear" w:color="auto" w:fill="auto"/>
            <w:vAlign w:val="center"/>
          </w:tcPr>
          <w:p w14:paraId="0DD38B3C"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Paludisme</w:t>
            </w:r>
          </w:p>
        </w:tc>
        <w:tc>
          <w:tcPr>
            <w:tcW w:w="1063" w:type="dxa"/>
            <w:vAlign w:val="center"/>
          </w:tcPr>
          <w:p w14:paraId="07913D04"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Protozoaires</w:t>
            </w:r>
          </w:p>
        </w:tc>
        <w:tc>
          <w:tcPr>
            <w:tcW w:w="1843" w:type="dxa"/>
            <w:shd w:val="clear" w:color="auto" w:fill="auto"/>
            <w:vAlign w:val="center"/>
          </w:tcPr>
          <w:p w14:paraId="69DE691D" w14:textId="77777777" w:rsidR="00366851" w:rsidRPr="00366851" w:rsidRDefault="00366851" w:rsidP="00D70FAB">
            <w:pPr>
              <w:numPr>
                <w:ilvl w:val="0"/>
                <w:numId w:val="17"/>
              </w:numPr>
              <w:ind w:left="188" w:hanging="188"/>
              <w:contextualSpacing/>
              <w:rPr>
                <w:rFonts w:ascii="Arial" w:eastAsia="Arial" w:hAnsi="Arial" w:cs="Arial"/>
                <w:sz w:val="18"/>
                <w:szCs w:val="18"/>
                <w:lang w:val="fr-FR"/>
              </w:rPr>
            </w:pPr>
            <w:r>
              <w:rPr>
                <w:rFonts w:ascii="Arial" w:eastAsia="Arial" w:hAnsi="Arial" w:cs="Arial"/>
                <w:sz w:val="18"/>
                <w:lang w:val="fr-FR"/>
              </w:rPr>
              <w:t>Hygiène environnementale</w:t>
            </w:r>
          </w:p>
        </w:tc>
        <w:tc>
          <w:tcPr>
            <w:tcW w:w="1984" w:type="dxa"/>
            <w:shd w:val="clear" w:color="auto" w:fill="auto"/>
            <w:vAlign w:val="center"/>
          </w:tcPr>
          <w:p w14:paraId="14737340"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Fièvre, migraines, nausées et vomissements</w:t>
            </w:r>
          </w:p>
        </w:tc>
        <w:tc>
          <w:tcPr>
            <w:tcW w:w="2835" w:type="dxa"/>
            <w:vAlign w:val="center"/>
          </w:tcPr>
          <w:p w14:paraId="2C191F70"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Chez les </w:t>
            </w:r>
            <w:r w:rsidRPr="00366851">
              <w:rPr>
                <w:rFonts w:ascii="Arial" w:eastAsia="Arial" w:hAnsi="Arial" w:cs="Arial"/>
                <w:b/>
                <w:sz w:val="18"/>
                <w:szCs w:val="18"/>
                <w:lang w:val="fr-FR"/>
              </w:rPr>
              <w:t>femmes enceintes</w:t>
            </w:r>
            <w:r>
              <w:rPr>
                <w:rFonts w:ascii="Arial" w:eastAsia="Arial" w:hAnsi="Arial" w:cs="Arial"/>
                <w:sz w:val="18"/>
                <w:lang w:val="fr-FR"/>
              </w:rPr>
              <w:t>, contribue à l'anémie.</w:t>
            </w:r>
          </w:p>
          <w:p w14:paraId="5AD7E693"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Les </w:t>
            </w:r>
            <w:r w:rsidRPr="00366851">
              <w:rPr>
                <w:rFonts w:ascii="Arial" w:eastAsia="Arial" w:hAnsi="Arial" w:cs="Arial"/>
                <w:b/>
                <w:sz w:val="18"/>
                <w:szCs w:val="18"/>
                <w:lang w:val="fr-FR"/>
              </w:rPr>
              <w:t>fœtus</w:t>
            </w:r>
            <w:r>
              <w:rPr>
                <w:rFonts w:ascii="Arial" w:eastAsia="Arial" w:hAnsi="Arial" w:cs="Arial"/>
                <w:sz w:val="18"/>
                <w:lang w:val="fr-FR"/>
              </w:rPr>
              <w:t xml:space="preserve"> ont plus de risques de mourir ou d'avoir un faible poids à la naissance</w:t>
            </w:r>
            <w:r w:rsidRPr="00366851">
              <w:rPr>
                <w:rFonts w:ascii="Arial" w:eastAsia="Arial" w:hAnsi="Arial" w:cs="Arial"/>
                <w:sz w:val="18"/>
                <w:szCs w:val="18"/>
                <w:vertAlign w:val="superscript"/>
                <w:lang w:val="fr-FR"/>
              </w:rPr>
              <w:t>6</w:t>
            </w:r>
            <w:r>
              <w:rPr>
                <w:rFonts w:ascii="Arial" w:eastAsia="Arial" w:hAnsi="Arial" w:cs="Arial"/>
                <w:sz w:val="18"/>
                <w:lang w:val="fr-FR"/>
              </w:rPr>
              <w:t xml:space="preserve">. </w:t>
            </w:r>
          </w:p>
          <w:p w14:paraId="27B57BE8"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Chez les </w:t>
            </w:r>
            <w:r w:rsidRPr="00366851">
              <w:rPr>
                <w:rFonts w:ascii="Arial" w:eastAsia="Arial" w:hAnsi="Arial" w:cs="Arial"/>
                <w:b/>
                <w:sz w:val="18"/>
                <w:szCs w:val="18"/>
                <w:lang w:val="fr-FR"/>
              </w:rPr>
              <w:t>enfants</w:t>
            </w:r>
            <w:r>
              <w:rPr>
                <w:rFonts w:ascii="Arial" w:eastAsia="Arial" w:hAnsi="Arial" w:cs="Arial"/>
                <w:sz w:val="18"/>
                <w:lang w:val="fr-FR"/>
              </w:rPr>
              <w:t>, contribue à l'anémie.</w:t>
            </w:r>
          </w:p>
        </w:tc>
      </w:tr>
      <w:tr w:rsidR="00366851" w:rsidRPr="00366851" w14:paraId="58511B6E" w14:textId="77777777" w:rsidTr="00A37BC7">
        <w:trPr>
          <w:cantSplit/>
          <w:trHeight w:val="1160"/>
        </w:trPr>
        <w:tc>
          <w:tcPr>
            <w:tcW w:w="1597" w:type="dxa"/>
            <w:shd w:val="clear" w:color="auto" w:fill="auto"/>
            <w:vAlign w:val="center"/>
          </w:tcPr>
          <w:p w14:paraId="78279213"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 xml:space="preserve">Rotavirus </w:t>
            </w:r>
          </w:p>
        </w:tc>
        <w:tc>
          <w:tcPr>
            <w:tcW w:w="1063" w:type="dxa"/>
            <w:vAlign w:val="center"/>
          </w:tcPr>
          <w:p w14:paraId="211BCA3B"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Virus</w:t>
            </w:r>
          </w:p>
        </w:tc>
        <w:tc>
          <w:tcPr>
            <w:tcW w:w="1843" w:type="dxa"/>
            <w:shd w:val="clear" w:color="auto" w:fill="auto"/>
            <w:vAlign w:val="center"/>
          </w:tcPr>
          <w:p w14:paraId="4229FF7E" w14:textId="77777777" w:rsidR="00366851" w:rsidRPr="00366851" w:rsidRDefault="00366851" w:rsidP="00D70FAB">
            <w:pPr>
              <w:numPr>
                <w:ilvl w:val="0"/>
                <w:numId w:val="17"/>
              </w:numPr>
              <w:ind w:left="175" w:hanging="175"/>
              <w:contextualSpacing/>
              <w:rPr>
                <w:rFonts w:ascii="Arial" w:eastAsia="Arial" w:hAnsi="Arial" w:cs="Arial"/>
                <w:sz w:val="18"/>
                <w:szCs w:val="18"/>
                <w:lang w:val="fr-FR"/>
              </w:rPr>
            </w:pPr>
            <w:r>
              <w:rPr>
                <w:rFonts w:ascii="Arial" w:eastAsia="Arial" w:hAnsi="Arial" w:cs="Arial"/>
                <w:sz w:val="18"/>
                <w:lang w:val="fr-FR"/>
              </w:rPr>
              <w:t>Assainissement</w:t>
            </w:r>
          </w:p>
          <w:p w14:paraId="603B583E" w14:textId="77777777" w:rsidR="00366851" w:rsidRPr="00366851" w:rsidRDefault="00366851" w:rsidP="00D70FAB">
            <w:pPr>
              <w:numPr>
                <w:ilvl w:val="0"/>
                <w:numId w:val="17"/>
              </w:numPr>
              <w:ind w:left="175" w:hanging="175"/>
              <w:contextualSpacing/>
              <w:rPr>
                <w:rFonts w:ascii="Arial" w:eastAsia="Arial" w:hAnsi="Arial" w:cs="Arial"/>
                <w:sz w:val="18"/>
                <w:szCs w:val="18"/>
                <w:lang w:val="fr-FR"/>
              </w:rPr>
            </w:pPr>
            <w:r>
              <w:rPr>
                <w:rFonts w:ascii="Arial" w:eastAsia="Arial" w:hAnsi="Arial" w:cs="Arial"/>
                <w:sz w:val="18"/>
                <w:lang w:val="fr-FR"/>
              </w:rPr>
              <w:t>Hygiène</w:t>
            </w:r>
          </w:p>
        </w:tc>
        <w:tc>
          <w:tcPr>
            <w:tcW w:w="1984" w:type="dxa"/>
            <w:shd w:val="clear" w:color="auto" w:fill="auto"/>
            <w:vAlign w:val="center"/>
          </w:tcPr>
          <w:p w14:paraId="5FB529B3"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Diarrhée, vomissements, déshydratation sévère.</w:t>
            </w:r>
          </w:p>
        </w:tc>
        <w:tc>
          <w:tcPr>
            <w:tcW w:w="2835" w:type="dxa"/>
            <w:vAlign w:val="center"/>
          </w:tcPr>
          <w:p w14:paraId="440D9670" w14:textId="77777777" w:rsidR="00366851" w:rsidRPr="00366851" w:rsidRDefault="00366851" w:rsidP="00D70FAB">
            <w:pPr>
              <w:numPr>
                <w:ilvl w:val="0"/>
                <w:numId w:val="8"/>
              </w:numPr>
              <w:ind w:left="173" w:hanging="187"/>
              <w:contextualSpacing/>
              <w:rPr>
                <w:rFonts w:ascii="Arial" w:eastAsia="Arial" w:hAnsi="Arial" w:cs="Arial"/>
                <w:sz w:val="18"/>
                <w:szCs w:val="18"/>
                <w:vertAlign w:val="superscript"/>
                <w:lang w:val="fr-FR"/>
              </w:rPr>
            </w:pPr>
            <w:r>
              <w:rPr>
                <w:rFonts w:ascii="Arial" w:eastAsia="Arial" w:hAnsi="Arial" w:cs="Arial"/>
                <w:sz w:val="18"/>
                <w:lang w:val="fr-FR"/>
              </w:rPr>
              <w:t xml:space="preserve">Chez les </w:t>
            </w:r>
            <w:r w:rsidRPr="00366851">
              <w:rPr>
                <w:rFonts w:ascii="Arial" w:eastAsia="Arial" w:hAnsi="Arial" w:cs="Arial"/>
                <w:b/>
                <w:sz w:val="18"/>
                <w:szCs w:val="18"/>
                <w:lang w:val="fr-FR"/>
              </w:rPr>
              <w:t>enfants</w:t>
            </w:r>
            <w:r>
              <w:rPr>
                <w:rFonts w:ascii="Arial" w:eastAsia="Arial" w:hAnsi="Arial" w:cs="Arial"/>
                <w:sz w:val="18"/>
                <w:lang w:val="fr-FR"/>
              </w:rPr>
              <w:t xml:space="preserve">, c'est une des principales causes de décès. On estime qu'il est la cause de 40% des admissions à l'hôpital pour diarrhée chez les </w:t>
            </w:r>
            <w:r w:rsidRPr="00366851">
              <w:rPr>
                <w:rFonts w:ascii="Arial" w:eastAsia="Arial" w:hAnsi="Arial" w:cs="Arial"/>
                <w:b/>
                <w:sz w:val="18"/>
                <w:szCs w:val="18"/>
                <w:lang w:val="fr-FR"/>
              </w:rPr>
              <w:t>enfants</w:t>
            </w:r>
            <w:r>
              <w:rPr>
                <w:rFonts w:ascii="Arial" w:eastAsia="Arial" w:hAnsi="Arial" w:cs="Arial"/>
                <w:sz w:val="18"/>
                <w:lang w:val="fr-FR"/>
              </w:rPr>
              <w:t>.</w:t>
            </w:r>
          </w:p>
        </w:tc>
      </w:tr>
      <w:tr w:rsidR="00366851" w:rsidRPr="00366851" w14:paraId="4CB60E44" w14:textId="77777777" w:rsidTr="00A37BC7">
        <w:trPr>
          <w:cantSplit/>
          <w:trHeight w:val="2006"/>
        </w:trPr>
        <w:tc>
          <w:tcPr>
            <w:tcW w:w="1597" w:type="dxa"/>
            <w:shd w:val="clear" w:color="auto" w:fill="auto"/>
            <w:vAlign w:val="center"/>
          </w:tcPr>
          <w:p w14:paraId="3A963582"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lastRenderedPageBreak/>
              <w:t>Schistosomiase</w:t>
            </w:r>
          </w:p>
        </w:tc>
        <w:tc>
          <w:tcPr>
            <w:tcW w:w="1063" w:type="dxa"/>
            <w:vAlign w:val="center"/>
          </w:tcPr>
          <w:p w14:paraId="2F8FA14E"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Helminthe</w:t>
            </w:r>
          </w:p>
        </w:tc>
        <w:tc>
          <w:tcPr>
            <w:tcW w:w="1843" w:type="dxa"/>
            <w:shd w:val="clear" w:color="auto" w:fill="auto"/>
            <w:vAlign w:val="center"/>
          </w:tcPr>
          <w:p w14:paraId="342C0873" w14:textId="77777777" w:rsidR="00366851" w:rsidRPr="00366851" w:rsidRDefault="00366851" w:rsidP="00D70FAB">
            <w:pPr>
              <w:numPr>
                <w:ilvl w:val="0"/>
                <w:numId w:val="18"/>
              </w:numPr>
              <w:ind w:left="175" w:hanging="175"/>
              <w:contextualSpacing/>
              <w:rPr>
                <w:rFonts w:ascii="Arial" w:eastAsia="Arial" w:hAnsi="Arial" w:cs="Arial"/>
                <w:sz w:val="18"/>
                <w:szCs w:val="18"/>
                <w:lang w:val="fr-FR"/>
              </w:rPr>
            </w:pPr>
            <w:r>
              <w:rPr>
                <w:rFonts w:ascii="Arial" w:eastAsia="Arial" w:hAnsi="Arial" w:cs="Arial"/>
                <w:sz w:val="18"/>
                <w:lang w:val="fr-FR"/>
              </w:rPr>
              <w:t>Assainissement</w:t>
            </w:r>
          </w:p>
          <w:p w14:paraId="184CF8D3" w14:textId="77777777" w:rsidR="00366851" w:rsidRPr="00366851" w:rsidRDefault="00366851" w:rsidP="00D70FAB">
            <w:pPr>
              <w:numPr>
                <w:ilvl w:val="0"/>
                <w:numId w:val="18"/>
              </w:numPr>
              <w:ind w:left="175" w:hanging="175"/>
              <w:contextualSpacing/>
              <w:rPr>
                <w:rFonts w:ascii="Arial" w:eastAsia="Arial" w:hAnsi="Arial" w:cs="Arial"/>
                <w:sz w:val="18"/>
                <w:szCs w:val="18"/>
                <w:lang w:val="fr-FR"/>
              </w:rPr>
            </w:pPr>
            <w:r>
              <w:rPr>
                <w:rFonts w:ascii="Arial" w:eastAsia="Arial" w:hAnsi="Arial" w:cs="Arial"/>
                <w:sz w:val="18"/>
                <w:lang w:val="fr-FR"/>
              </w:rPr>
              <w:t xml:space="preserve">Exposition à de l'eau contaminée </w:t>
            </w:r>
          </w:p>
        </w:tc>
        <w:tc>
          <w:tcPr>
            <w:tcW w:w="1984" w:type="dxa"/>
            <w:shd w:val="clear" w:color="auto" w:fill="auto"/>
            <w:vAlign w:val="center"/>
          </w:tcPr>
          <w:p w14:paraId="5BF27059"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 xml:space="preserve">Diarrhée, dégâts aux organes internes </w:t>
            </w:r>
          </w:p>
        </w:tc>
        <w:tc>
          <w:tcPr>
            <w:tcW w:w="2835" w:type="dxa"/>
            <w:vAlign w:val="center"/>
          </w:tcPr>
          <w:p w14:paraId="7ECCDAEC"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Chez les </w:t>
            </w:r>
            <w:r w:rsidRPr="00366851">
              <w:rPr>
                <w:rFonts w:ascii="Arial" w:eastAsia="Arial" w:hAnsi="Arial" w:cs="Arial"/>
                <w:b/>
                <w:sz w:val="18"/>
                <w:szCs w:val="18"/>
                <w:lang w:val="fr-FR"/>
              </w:rPr>
              <w:t>femmes enceintes</w:t>
            </w:r>
            <w:r>
              <w:rPr>
                <w:rFonts w:ascii="Arial" w:eastAsia="Arial" w:hAnsi="Arial" w:cs="Arial"/>
                <w:sz w:val="18"/>
                <w:lang w:val="fr-FR"/>
              </w:rPr>
              <w:t xml:space="preserve"> et les</w:t>
            </w:r>
            <w:r w:rsidRPr="00366851">
              <w:rPr>
                <w:rFonts w:ascii="Arial" w:eastAsia="Arial" w:hAnsi="Arial" w:cs="Arial"/>
                <w:b/>
                <w:sz w:val="18"/>
                <w:szCs w:val="18"/>
                <w:lang w:val="fr-FR"/>
              </w:rPr>
              <w:t xml:space="preserve"> enfants</w:t>
            </w:r>
            <w:r>
              <w:rPr>
                <w:rFonts w:ascii="Arial" w:eastAsia="Arial" w:hAnsi="Arial" w:cs="Arial"/>
                <w:sz w:val="18"/>
                <w:lang w:val="fr-FR"/>
              </w:rPr>
              <w:t xml:space="preserve">, contribue à l'anémie et augmente donc le risque de décès. </w:t>
            </w:r>
          </w:p>
          <w:p w14:paraId="13F792B6"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b/>
                <w:sz w:val="18"/>
                <w:lang w:val="fr-FR"/>
              </w:rPr>
              <w:t>Les fœtus</w:t>
            </w:r>
            <w:r w:rsidRPr="00366851">
              <w:rPr>
                <w:rFonts w:ascii="Arial" w:eastAsia="Arial" w:hAnsi="Arial" w:cs="Arial"/>
                <w:sz w:val="18"/>
                <w:szCs w:val="18"/>
                <w:lang w:val="fr-FR"/>
              </w:rPr>
              <w:t xml:space="preserve"> ont plus de risques de mourir ou d'avoir un faible poids à la naissance</w:t>
            </w:r>
            <w:r>
              <w:rPr>
                <w:rFonts w:ascii="Arial" w:eastAsia="Arial" w:hAnsi="Arial" w:cs="Arial"/>
                <w:b/>
                <w:sz w:val="18"/>
                <w:lang w:val="fr-FR"/>
              </w:rPr>
              <w:t>.</w:t>
            </w:r>
          </w:p>
          <w:p w14:paraId="1BC41714" w14:textId="77777777" w:rsidR="00366851" w:rsidRPr="00366851" w:rsidRDefault="00366851" w:rsidP="00D70FAB">
            <w:pPr>
              <w:numPr>
                <w:ilvl w:val="0"/>
                <w:numId w:val="7"/>
              </w:numPr>
              <w:ind w:left="173" w:hanging="187"/>
              <w:contextualSpacing/>
              <w:rPr>
                <w:rFonts w:ascii="Arial" w:eastAsia="Arial" w:hAnsi="Arial" w:cs="Arial"/>
                <w:sz w:val="18"/>
                <w:szCs w:val="18"/>
                <w:lang w:val="fr-FR"/>
              </w:rPr>
            </w:pPr>
            <w:r>
              <w:rPr>
                <w:rFonts w:ascii="Arial" w:eastAsia="Arial" w:hAnsi="Arial" w:cs="Arial"/>
                <w:sz w:val="18"/>
                <w:lang w:val="fr-FR"/>
              </w:rPr>
              <w:t xml:space="preserve">Impacte la croissance et le développement cognitif des </w:t>
            </w:r>
            <w:r w:rsidRPr="00366851">
              <w:rPr>
                <w:rFonts w:ascii="Arial" w:eastAsia="Arial" w:hAnsi="Arial" w:cs="Arial"/>
                <w:b/>
                <w:sz w:val="18"/>
                <w:szCs w:val="18"/>
                <w:lang w:val="fr-FR"/>
              </w:rPr>
              <w:t>enfants</w:t>
            </w:r>
            <w:r>
              <w:rPr>
                <w:rFonts w:ascii="Arial" w:eastAsia="Arial" w:hAnsi="Arial" w:cs="Arial"/>
                <w:sz w:val="18"/>
                <w:lang w:val="fr-FR"/>
              </w:rPr>
              <w:t>.</w:t>
            </w:r>
          </w:p>
        </w:tc>
      </w:tr>
      <w:tr w:rsidR="00366851" w:rsidRPr="00366851" w14:paraId="323EB4AF" w14:textId="77777777" w:rsidTr="00A37BC7">
        <w:trPr>
          <w:cantSplit/>
          <w:trHeight w:val="1790"/>
        </w:trPr>
        <w:tc>
          <w:tcPr>
            <w:tcW w:w="1597" w:type="dxa"/>
            <w:shd w:val="clear" w:color="auto" w:fill="auto"/>
            <w:vAlign w:val="center"/>
          </w:tcPr>
          <w:p w14:paraId="7F4E22C9"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Toxoplasmose</w:t>
            </w:r>
          </w:p>
        </w:tc>
        <w:tc>
          <w:tcPr>
            <w:tcW w:w="1063" w:type="dxa"/>
            <w:vAlign w:val="center"/>
          </w:tcPr>
          <w:p w14:paraId="73998249"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Protozoaires</w:t>
            </w:r>
          </w:p>
        </w:tc>
        <w:tc>
          <w:tcPr>
            <w:tcW w:w="1843" w:type="dxa"/>
            <w:shd w:val="clear" w:color="auto" w:fill="auto"/>
            <w:vAlign w:val="center"/>
          </w:tcPr>
          <w:p w14:paraId="632821BB" w14:textId="77777777" w:rsidR="00366851" w:rsidRPr="00366851" w:rsidRDefault="00366851" w:rsidP="00D70FAB">
            <w:pPr>
              <w:numPr>
                <w:ilvl w:val="0"/>
                <w:numId w:val="19"/>
              </w:numPr>
              <w:ind w:left="175" w:hanging="175"/>
              <w:contextualSpacing/>
              <w:rPr>
                <w:rFonts w:ascii="Arial" w:eastAsia="Arial" w:hAnsi="Arial" w:cs="Arial"/>
                <w:sz w:val="18"/>
                <w:szCs w:val="18"/>
                <w:lang w:val="fr-FR"/>
              </w:rPr>
            </w:pPr>
            <w:r>
              <w:rPr>
                <w:rFonts w:ascii="Arial" w:eastAsia="Arial" w:hAnsi="Arial" w:cs="Arial"/>
                <w:sz w:val="18"/>
                <w:lang w:val="fr-FR"/>
              </w:rPr>
              <w:t>Eau</w:t>
            </w:r>
          </w:p>
          <w:p w14:paraId="15A2DC7A" w14:textId="77777777" w:rsidR="00366851" w:rsidRPr="00366851" w:rsidRDefault="00366851" w:rsidP="00D70FAB">
            <w:pPr>
              <w:numPr>
                <w:ilvl w:val="0"/>
                <w:numId w:val="19"/>
              </w:numPr>
              <w:ind w:left="175" w:hanging="175"/>
              <w:contextualSpacing/>
              <w:rPr>
                <w:rFonts w:ascii="Arial" w:eastAsia="Arial" w:hAnsi="Arial" w:cs="Arial"/>
                <w:sz w:val="18"/>
                <w:szCs w:val="18"/>
                <w:lang w:val="fr-FR"/>
              </w:rPr>
            </w:pPr>
            <w:r>
              <w:rPr>
                <w:rFonts w:ascii="Arial" w:eastAsia="Arial" w:hAnsi="Arial" w:cs="Arial"/>
                <w:sz w:val="18"/>
                <w:lang w:val="fr-FR"/>
              </w:rPr>
              <w:t>Hygiène</w:t>
            </w:r>
          </w:p>
        </w:tc>
        <w:tc>
          <w:tcPr>
            <w:tcW w:w="1984" w:type="dxa"/>
            <w:shd w:val="clear" w:color="auto" w:fill="auto"/>
            <w:vAlign w:val="center"/>
          </w:tcPr>
          <w:p w14:paraId="23F0EA1F"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Problèmes neurologiques (fièvre, confusion, migraines, convulsions, nausées, mauvaise coordination)</w:t>
            </w:r>
          </w:p>
        </w:tc>
        <w:tc>
          <w:tcPr>
            <w:tcW w:w="2835" w:type="dxa"/>
            <w:vAlign w:val="center"/>
          </w:tcPr>
          <w:p w14:paraId="6C526AC5" w14:textId="77777777" w:rsidR="00366851" w:rsidRPr="00366851" w:rsidRDefault="00366851" w:rsidP="00366851">
            <w:pPr>
              <w:ind w:left="720"/>
              <w:contextualSpacing/>
              <w:rPr>
                <w:rFonts w:ascii="Arial" w:eastAsia="Arial" w:hAnsi="Arial" w:cs="Arial"/>
                <w:sz w:val="18"/>
                <w:szCs w:val="18"/>
                <w:vertAlign w:val="superscript"/>
                <w:lang w:val="fr-FR"/>
              </w:rPr>
            </w:pPr>
          </w:p>
          <w:p w14:paraId="30D6FAA8" w14:textId="77777777" w:rsidR="00366851" w:rsidRPr="00366851" w:rsidRDefault="00366851" w:rsidP="00D70FAB">
            <w:pPr>
              <w:numPr>
                <w:ilvl w:val="0"/>
                <w:numId w:val="8"/>
              </w:numPr>
              <w:ind w:left="173" w:hanging="187"/>
              <w:contextualSpacing/>
              <w:rPr>
                <w:rFonts w:ascii="Arial" w:eastAsia="Arial" w:hAnsi="Arial" w:cs="Arial"/>
                <w:sz w:val="18"/>
                <w:szCs w:val="18"/>
                <w:vertAlign w:val="superscript"/>
                <w:lang w:val="fr-FR"/>
              </w:rPr>
            </w:pPr>
            <w:r>
              <w:rPr>
                <w:rFonts w:ascii="Arial" w:eastAsia="Arial" w:hAnsi="Arial" w:cs="Arial"/>
                <w:b/>
                <w:sz w:val="18"/>
                <w:lang w:val="fr-FR"/>
              </w:rPr>
              <w:t xml:space="preserve">Les fœtus </w:t>
            </w:r>
            <w:r w:rsidRPr="00366851">
              <w:rPr>
                <w:rFonts w:ascii="Arial" w:eastAsia="Arial" w:hAnsi="Arial" w:cs="Arial"/>
                <w:sz w:val="18"/>
                <w:szCs w:val="18"/>
                <w:lang w:val="fr-FR"/>
              </w:rPr>
              <w:t>ont plus de risques de naître prématurés. Peut entrainer la mort ou une anomalie du fœtus.</w:t>
            </w:r>
          </w:p>
          <w:p w14:paraId="425AD8DF" w14:textId="77777777" w:rsidR="00366851" w:rsidRPr="00366851" w:rsidRDefault="00366851" w:rsidP="00D70FAB">
            <w:pPr>
              <w:numPr>
                <w:ilvl w:val="0"/>
                <w:numId w:val="8"/>
              </w:numPr>
              <w:ind w:left="173" w:hanging="187"/>
              <w:contextualSpacing/>
              <w:rPr>
                <w:rFonts w:ascii="Arial" w:eastAsia="Arial" w:hAnsi="Arial" w:cs="Arial"/>
                <w:sz w:val="18"/>
                <w:szCs w:val="18"/>
                <w:vertAlign w:val="superscript"/>
                <w:lang w:val="fr-FR"/>
              </w:rPr>
            </w:pPr>
            <w:r>
              <w:rPr>
                <w:rFonts w:ascii="Arial" w:eastAsia="Arial" w:hAnsi="Arial" w:cs="Arial"/>
                <w:b/>
                <w:sz w:val="18"/>
                <w:lang w:val="fr-FR"/>
              </w:rPr>
              <w:t>Les enfants</w:t>
            </w:r>
            <w:r w:rsidRPr="00366851">
              <w:rPr>
                <w:rFonts w:ascii="Arial" w:eastAsia="Arial" w:hAnsi="Arial" w:cs="Arial"/>
                <w:sz w:val="18"/>
                <w:szCs w:val="18"/>
                <w:lang w:val="fr-FR"/>
              </w:rPr>
              <w:t xml:space="preserve"> dont la mère a contracté la toxoplasmose lorsqu'elle était enceinte auront plus de chances d'avoir des problèmes de santé quand ils grandiront.</w:t>
            </w:r>
          </w:p>
        </w:tc>
      </w:tr>
      <w:tr w:rsidR="00366851" w:rsidRPr="00366851" w14:paraId="36B050AC" w14:textId="77777777" w:rsidTr="00A37BC7">
        <w:trPr>
          <w:cantSplit/>
          <w:trHeight w:val="1529"/>
        </w:trPr>
        <w:tc>
          <w:tcPr>
            <w:tcW w:w="1597" w:type="dxa"/>
            <w:shd w:val="clear" w:color="auto" w:fill="auto"/>
            <w:vAlign w:val="center"/>
          </w:tcPr>
          <w:p w14:paraId="2AA676F7"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Trachome</w:t>
            </w:r>
          </w:p>
        </w:tc>
        <w:tc>
          <w:tcPr>
            <w:tcW w:w="1063" w:type="dxa"/>
            <w:vAlign w:val="center"/>
          </w:tcPr>
          <w:p w14:paraId="4F2EAFF4"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Bactérie</w:t>
            </w:r>
          </w:p>
        </w:tc>
        <w:tc>
          <w:tcPr>
            <w:tcW w:w="1843" w:type="dxa"/>
            <w:shd w:val="clear" w:color="auto" w:fill="auto"/>
            <w:vAlign w:val="center"/>
          </w:tcPr>
          <w:p w14:paraId="4D2115C2" w14:textId="77777777" w:rsidR="00366851" w:rsidRPr="00366851" w:rsidRDefault="00366851" w:rsidP="00D70FAB">
            <w:pPr>
              <w:numPr>
                <w:ilvl w:val="0"/>
                <w:numId w:val="20"/>
              </w:numPr>
              <w:ind w:left="175" w:hanging="175"/>
              <w:contextualSpacing/>
              <w:rPr>
                <w:rFonts w:ascii="Arial" w:eastAsia="Arial" w:hAnsi="Arial" w:cs="Arial"/>
                <w:sz w:val="18"/>
                <w:szCs w:val="18"/>
                <w:lang w:val="fr-FR"/>
              </w:rPr>
            </w:pPr>
            <w:r>
              <w:rPr>
                <w:rFonts w:ascii="Arial" w:eastAsia="Arial" w:hAnsi="Arial" w:cs="Arial"/>
                <w:sz w:val="18"/>
                <w:lang w:val="fr-FR"/>
              </w:rPr>
              <w:t>Hygiène</w:t>
            </w:r>
          </w:p>
        </w:tc>
        <w:tc>
          <w:tcPr>
            <w:tcW w:w="1984" w:type="dxa"/>
            <w:shd w:val="clear" w:color="auto" w:fill="auto"/>
            <w:vAlign w:val="center"/>
          </w:tcPr>
          <w:p w14:paraId="094C7F75"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Cécité à l’âge adulte</w:t>
            </w:r>
          </w:p>
        </w:tc>
        <w:tc>
          <w:tcPr>
            <w:tcW w:w="2835" w:type="dxa"/>
            <w:vAlign w:val="center"/>
          </w:tcPr>
          <w:p w14:paraId="56C26606" w14:textId="77777777" w:rsidR="00366851" w:rsidRPr="00366851" w:rsidRDefault="00366851" w:rsidP="00D70FAB">
            <w:pPr>
              <w:numPr>
                <w:ilvl w:val="0"/>
                <w:numId w:val="9"/>
              </w:numPr>
              <w:ind w:left="173" w:hanging="187"/>
              <w:contextualSpacing/>
              <w:rPr>
                <w:rFonts w:ascii="Arial" w:eastAsia="Arial" w:hAnsi="Arial" w:cs="Arial"/>
                <w:sz w:val="18"/>
                <w:szCs w:val="18"/>
                <w:lang w:val="fr-FR"/>
              </w:rPr>
            </w:pPr>
            <w:r>
              <w:rPr>
                <w:rFonts w:ascii="Arial" w:eastAsia="Arial" w:hAnsi="Arial" w:cs="Arial"/>
                <w:b/>
                <w:sz w:val="18"/>
                <w:lang w:val="fr-FR"/>
              </w:rPr>
              <w:t xml:space="preserve">Les femmes enceintes </w:t>
            </w:r>
            <w:r w:rsidRPr="00366851">
              <w:rPr>
                <w:rFonts w:ascii="Arial" w:eastAsia="Arial" w:hAnsi="Arial" w:cs="Arial"/>
                <w:sz w:val="18"/>
                <w:szCs w:val="18"/>
                <w:lang w:val="fr-FR"/>
              </w:rPr>
              <w:t>ont un risque de trachome plus élevé.</w:t>
            </w:r>
            <w:r>
              <w:rPr>
                <w:rFonts w:ascii="Arial" w:eastAsia="Arial" w:hAnsi="Arial" w:cs="Arial"/>
                <w:b/>
                <w:sz w:val="18"/>
                <w:lang w:val="fr-FR"/>
              </w:rPr>
              <w:t xml:space="preserve"> </w:t>
            </w:r>
          </w:p>
          <w:p w14:paraId="7AD0C8B2" w14:textId="77777777" w:rsidR="00366851" w:rsidRPr="00366851" w:rsidRDefault="00366851" w:rsidP="00D70FAB">
            <w:pPr>
              <w:numPr>
                <w:ilvl w:val="0"/>
                <w:numId w:val="9"/>
              </w:numPr>
              <w:ind w:left="173" w:hanging="187"/>
              <w:contextualSpacing/>
              <w:rPr>
                <w:rFonts w:ascii="Arial" w:eastAsia="Arial" w:hAnsi="Arial" w:cs="Arial"/>
                <w:sz w:val="18"/>
                <w:szCs w:val="18"/>
                <w:lang w:val="fr-FR"/>
              </w:rPr>
            </w:pPr>
            <w:r>
              <w:rPr>
                <w:rFonts w:ascii="Arial" w:eastAsia="Arial" w:hAnsi="Arial" w:cs="Arial"/>
                <w:b/>
                <w:sz w:val="18"/>
                <w:lang w:val="fr-FR"/>
              </w:rPr>
              <w:t xml:space="preserve">Les enfants </w:t>
            </w:r>
            <w:r w:rsidRPr="00366851">
              <w:rPr>
                <w:rFonts w:ascii="Arial" w:eastAsia="Arial" w:hAnsi="Arial" w:cs="Arial"/>
                <w:sz w:val="18"/>
                <w:szCs w:val="18"/>
                <w:lang w:val="fr-FR"/>
              </w:rPr>
              <w:t>sont les plus vulnérables à l’infection, mais les symptômes les plus sévères peuvent ne pas apparaitre avant l’âge adulte (par exemple la cécité).</w:t>
            </w:r>
          </w:p>
        </w:tc>
      </w:tr>
      <w:tr w:rsidR="00366851" w:rsidRPr="00366851" w14:paraId="57540328" w14:textId="77777777" w:rsidTr="00A37BC7">
        <w:trPr>
          <w:cantSplit/>
          <w:trHeight w:val="872"/>
        </w:trPr>
        <w:tc>
          <w:tcPr>
            <w:tcW w:w="1597" w:type="dxa"/>
            <w:shd w:val="clear" w:color="auto" w:fill="auto"/>
            <w:vAlign w:val="center"/>
          </w:tcPr>
          <w:p w14:paraId="2513A1A4"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Fièvre typhoïde</w:t>
            </w:r>
          </w:p>
        </w:tc>
        <w:tc>
          <w:tcPr>
            <w:tcW w:w="1063" w:type="dxa"/>
            <w:vAlign w:val="center"/>
          </w:tcPr>
          <w:p w14:paraId="7D2CCB2B"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Bactérie</w:t>
            </w:r>
          </w:p>
        </w:tc>
        <w:tc>
          <w:tcPr>
            <w:tcW w:w="1843" w:type="dxa"/>
            <w:shd w:val="clear" w:color="auto" w:fill="auto"/>
            <w:vAlign w:val="center"/>
          </w:tcPr>
          <w:p w14:paraId="3A7B3279"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Eau</w:t>
            </w:r>
          </w:p>
          <w:p w14:paraId="234C1D8E"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Assainissement</w:t>
            </w:r>
          </w:p>
          <w:p w14:paraId="3A16A302" w14:textId="77777777" w:rsidR="00366851" w:rsidRPr="00366851" w:rsidRDefault="00366851" w:rsidP="00D70FAB">
            <w:pPr>
              <w:numPr>
                <w:ilvl w:val="0"/>
                <w:numId w:val="14"/>
              </w:numPr>
              <w:ind w:left="175" w:hanging="175"/>
              <w:contextualSpacing/>
              <w:rPr>
                <w:rFonts w:ascii="Arial" w:eastAsia="Arial" w:hAnsi="Arial" w:cs="Arial"/>
                <w:sz w:val="18"/>
                <w:szCs w:val="18"/>
                <w:lang w:val="fr-FR"/>
              </w:rPr>
            </w:pPr>
            <w:r>
              <w:rPr>
                <w:rFonts w:ascii="Arial" w:eastAsia="Arial" w:hAnsi="Arial" w:cs="Arial"/>
                <w:sz w:val="18"/>
                <w:lang w:val="fr-FR"/>
              </w:rPr>
              <w:t>Hygiène</w:t>
            </w:r>
          </w:p>
        </w:tc>
        <w:tc>
          <w:tcPr>
            <w:tcW w:w="1984" w:type="dxa"/>
            <w:shd w:val="clear" w:color="auto" w:fill="auto"/>
            <w:vAlign w:val="center"/>
          </w:tcPr>
          <w:p w14:paraId="11785613" w14:textId="77777777" w:rsidR="00366851" w:rsidRPr="00366851" w:rsidRDefault="00366851" w:rsidP="00366851">
            <w:pPr>
              <w:rPr>
                <w:rFonts w:ascii="Arial" w:eastAsia="Arial" w:hAnsi="Arial" w:cs="Arial"/>
                <w:sz w:val="18"/>
                <w:szCs w:val="18"/>
                <w:lang w:val="fr-FR"/>
              </w:rPr>
            </w:pPr>
            <w:r>
              <w:rPr>
                <w:rFonts w:ascii="Arial" w:eastAsia="Arial" w:hAnsi="Arial" w:cs="Arial"/>
                <w:sz w:val="18"/>
                <w:lang w:val="fr-FR"/>
              </w:rPr>
              <w:t>Fièvre, diarrhée, mal au ventre</w:t>
            </w:r>
          </w:p>
        </w:tc>
        <w:tc>
          <w:tcPr>
            <w:tcW w:w="2835" w:type="dxa"/>
            <w:vAlign w:val="center"/>
          </w:tcPr>
          <w:p w14:paraId="508AE248" w14:textId="77777777" w:rsidR="00366851" w:rsidRPr="00366851" w:rsidRDefault="00366851" w:rsidP="00D70FAB">
            <w:pPr>
              <w:numPr>
                <w:ilvl w:val="0"/>
                <w:numId w:val="9"/>
              </w:numPr>
              <w:ind w:left="173" w:hanging="187"/>
              <w:contextualSpacing/>
              <w:rPr>
                <w:rFonts w:ascii="Arial" w:eastAsia="Arial" w:hAnsi="Arial" w:cs="Arial"/>
                <w:sz w:val="18"/>
                <w:szCs w:val="18"/>
                <w:lang w:val="fr-FR"/>
              </w:rPr>
            </w:pPr>
            <w:r>
              <w:rPr>
                <w:rFonts w:ascii="Arial" w:eastAsia="Arial" w:hAnsi="Arial" w:cs="Arial"/>
                <w:b/>
                <w:sz w:val="18"/>
                <w:lang w:val="fr-FR"/>
              </w:rPr>
              <w:t>Les femmes enceintes</w:t>
            </w:r>
            <w:r w:rsidRPr="00366851">
              <w:rPr>
                <w:rFonts w:ascii="Arial" w:eastAsia="Arial" w:hAnsi="Arial" w:cs="Arial"/>
                <w:sz w:val="18"/>
                <w:szCs w:val="18"/>
                <w:lang w:val="fr-FR"/>
              </w:rPr>
              <w:t xml:space="preserve"> peuvent être plus vulnérables à l'infection.</w:t>
            </w:r>
          </w:p>
          <w:p w14:paraId="7B17B3A7" w14:textId="77777777" w:rsidR="00366851" w:rsidRPr="00366851" w:rsidRDefault="00366851" w:rsidP="00D70FAB">
            <w:pPr>
              <w:numPr>
                <w:ilvl w:val="0"/>
                <w:numId w:val="9"/>
              </w:numPr>
              <w:ind w:left="173" w:hanging="187"/>
              <w:contextualSpacing/>
              <w:rPr>
                <w:rFonts w:ascii="Arial" w:eastAsia="Arial" w:hAnsi="Arial" w:cs="Arial"/>
                <w:sz w:val="18"/>
                <w:szCs w:val="18"/>
                <w:lang w:val="fr-FR"/>
              </w:rPr>
            </w:pPr>
            <w:r>
              <w:rPr>
                <w:rFonts w:ascii="Arial" w:eastAsia="Arial" w:hAnsi="Arial" w:cs="Arial"/>
                <w:b/>
                <w:sz w:val="18"/>
                <w:lang w:val="fr-FR"/>
              </w:rPr>
              <w:t xml:space="preserve">Les enfants </w:t>
            </w:r>
            <w:r w:rsidRPr="00366851">
              <w:rPr>
                <w:rFonts w:ascii="Arial" w:eastAsia="Arial" w:hAnsi="Arial" w:cs="Arial"/>
                <w:sz w:val="18"/>
                <w:szCs w:val="18"/>
                <w:lang w:val="fr-FR"/>
              </w:rPr>
              <w:t>sont les plus vulnérables à l'infection et à la mort.</w:t>
            </w:r>
            <w:r>
              <w:rPr>
                <w:rFonts w:ascii="Arial" w:eastAsia="Arial" w:hAnsi="Arial" w:cs="Arial"/>
                <w:b/>
                <w:sz w:val="18"/>
                <w:lang w:val="fr-FR"/>
              </w:rPr>
              <w:t xml:space="preserve"> </w:t>
            </w:r>
          </w:p>
        </w:tc>
      </w:tr>
    </w:tbl>
    <w:p w14:paraId="0A517E1A" w14:textId="77777777" w:rsidR="00366851" w:rsidRDefault="00366851" w:rsidP="00366851">
      <w:pPr>
        <w:rPr>
          <w:rFonts w:ascii="Arial" w:eastAsia="Arial" w:hAnsi="Arial" w:cs="Arial"/>
          <w:sz w:val="16"/>
          <w:szCs w:val="18"/>
          <w:vertAlign w:val="superscript"/>
          <w:lang w:val="fr-FR"/>
        </w:rPr>
      </w:pPr>
    </w:p>
    <w:p w14:paraId="0925274A" w14:textId="77777777" w:rsidR="00366851" w:rsidRPr="00366851" w:rsidRDefault="00366851" w:rsidP="00366851">
      <w:pPr>
        <w:rPr>
          <w:rFonts w:ascii="Arial" w:eastAsia="Arial" w:hAnsi="Arial" w:cs="Arial"/>
          <w:sz w:val="16"/>
          <w:szCs w:val="18"/>
          <w:lang w:val="fr-FR"/>
        </w:rPr>
      </w:pPr>
      <w:r>
        <w:rPr>
          <w:rFonts w:ascii="Arial" w:eastAsia="Arial" w:hAnsi="Arial" w:cs="Arial"/>
          <w:sz w:val="16"/>
          <w:vertAlign w:val="superscript"/>
          <w:lang w:val="fr-FR"/>
        </w:rPr>
        <w:t xml:space="preserve">1 </w:t>
      </w:r>
      <w:r w:rsidRPr="00366851">
        <w:rPr>
          <w:rFonts w:ascii="Arial" w:eastAsia="Arial" w:hAnsi="Arial" w:cs="Arial"/>
          <w:sz w:val="16"/>
          <w:szCs w:val="18"/>
          <w:lang w:val="fr-FR"/>
        </w:rPr>
        <w:t>Heymann, 2008</w:t>
      </w:r>
    </w:p>
    <w:p w14:paraId="7160EA57" w14:textId="77777777" w:rsidR="00366851" w:rsidRPr="00366851" w:rsidRDefault="00366851" w:rsidP="00366851">
      <w:pPr>
        <w:rPr>
          <w:rFonts w:ascii="Arial" w:eastAsia="Arial" w:hAnsi="Arial" w:cs="Arial"/>
          <w:sz w:val="16"/>
          <w:szCs w:val="18"/>
          <w:lang w:val="fr-FR"/>
        </w:rPr>
      </w:pPr>
      <w:r>
        <w:rPr>
          <w:rFonts w:ascii="Arial" w:eastAsia="Arial" w:hAnsi="Arial" w:cs="Arial"/>
          <w:sz w:val="16"/>
          <w:vertAlign w:val="superscript"/>
          <w:lang w:val="fr-FR"/>
        </w:rPr>
        <w:t>2</w:t>
      </w:r>
      <w:r w:rsidRPr="00366851">
        <w:rPr>
          <w:rFonts w:ascii="Arial" w:eastAsia="Arial" w:hAnsi="Arial" w:cs="Arial"/>
          <w:sz w:val="16"/>
          <w:szCs w:val="18"/>
          <w:lang w:val="fr-FR"/>
        </w:rPr>
        <w:t>Pour des références sur les impacts, voir le Dossier technique de CAWST sur la SRMNI et les maladies liées au WASH</w:t>
      </w:r>
    </w:p>
    <w:p w14:paraId="2E0B0F1B" w14:textId="43ACEAC2" w:rsidR="00366851" w:rsidRPr="00366851" w:rsidRDefault="00366851" w:rsidP="00366851">
      <w:pPr>
        <w:rPr>
          <w:rFonts w:ascii="Arial" w:eastAsia="Arial" w:hAnsi="Arial" w:cs="Arial"/>
          <w:b/>
          <w:sz w:val="16"/>
          <w:szCs w:val="18"/>
          <w:lang w:val="fr-FR"/>
        </w:rPr>
      </w:pPr>
      <w:r>
        <w:rPr>
          <w:rFonts w:ascii="Arial" w:eastAsia="Arial" w:hAnsi="Arial" w:cs="Arial"/>
          <w:sz w:val="16"/>
          <w:vertAlign w:val="superscript"/>
          <w:lang w:val="fr-FR"/>
        </w:rPr>
        <w:t>3</w:t>
      </w:r>
      <w:r w:rsidRPr="00366851">
        <w:rPr>
          <w:rFonts w:ascii="Arial" w:eastAsia="Arial" w:hAnsi="Arial" w:cs="Arial"/>
          <w:sz w:val="16"/>
          <w:szCs w:val="18"/>
          <w:lang w:val="fr-FR"/>
        </w:rPr>
        <w:t xml:space="preserve"> On parle de naissance prématurée lorsque le bébé naît vivant avant 37 semaines entières de grossesse (OMS, 2014a).</w:t>
      </w:r>
    </w:p>
    <w:p w14:paraId="794F5041" w14:textId="4E14374E" w:rsidR="00366851" w:rsidRPr="00366851" w:rsidRDefault="00366851" w:rsidP="00366851">
      <w:pPr>
        <w:rPr>
          <w:rFonts w:ascii="Arial" w:eastAsia="Arial" w:hAnsi="Arial" w:cs="Arial"/>
          <w:sz w:val="16"/>
          <w:szCs w:val="18"/>
          <w:lang w:val="fr-FR"/>
        </w:rPr>
      </w:pPr>
      <w:r>
        <w:rPr>
          <w:rFonts w:ascii="Arial" w:eastAsia="Arial" w:hAnsi="Arial" w:cs="Arial"/>
          <w:sz w:val="16"/>
          <w:vertAlign w:val="superscript"/>
          <w:lang w:val="fr-FR"/>
        </w:rPr>
        <w:t>4</w:t>
      </w:r>
      <w:r w:rsidRPr="00366851">
        <w:rPr>
          <w:rFonts w:ascii="Arial" w:eastAsia="Arial" w:hAnsi="Arial" w:cs="Arial"/>
          <w:sz w:val="16"/>
          <w:szCs w:val="18"/>
          <w:lang w:val="fr-FR"/>
        </w:rPr>
        <w:t xml:space="preserve"> Une diarrhée est persistante lorsqu'elle dure 14 jours ou plus. Elle frappe le plus souvent les personnes ayant un système immunitaire faible, comme les personnes qui vivent avec le VIH/SIDA.</w:t>
      </w:r>
    </w:p>
    <w:p w14:paraId="72C6B875" w14:textId="3E94E0A2" w:rsidR="00366851" w:rsidRPr="00366851" w:rsidRDefault="00366851" w:rsidP="00366851">
      <w:pPr>
        <w:rPr>
          <w:rFonts w:ascii="Arial" w:eastAsia="Arial" w:hAnsi="Arial" w:cs="Arial"/>
          <w:sz w:val="16"/>
          <w:szCs w:val="18"/>
          <w:lang w:val="fr-FR"/>
        </w:rPr>
      </w:pPr>
      <w:r>
        <w:rPr>
          <w:rFonts w:ascii="Arial" w:eastAsia="Arial" w:hAnsi="Arial" w:cs="Arial"/>
          <w:sz w:val="16"/>
          <w:vertAlign w:val="superscript"/>
          <w:lang w:val="fr-FR"/>
        </w:rPr>
        <w:t>5</w:t>
      </w:r>
      <w:r w:rsidR="005521A7">
        <w:rPr>
          <w:rFonts w:ascii="Arial" w:eastAsia="Arial" w:hAnsi="Arial" w:cs="Arial"/>
          <w:sz w:val="16"/>
          <w:szCs w:val="18"/>
          <w:lang w:val="fr-FR"/>
        </w:rPr>
        <w:t xml:space="preserve"> De (OMS, 2014b)</w:t>
      </w:r>
    </w:p>
    <w:p w14:paraId="4C9F619B" w14:textId="77777777" w:rsidR="00366851" w:rsidRPr="00366851" w:rsidRDefault="00366851" w:rsidP="00366851">
      <w:pPr>
        <w:rPr>
          <w:rFonts w:ascii="Arial" w:eastAsia="Arial" w:hAnsi="Arial" w:cs="Arial"/>
          <w:sz w:val="16"/>
          <w:szCs w:val="18"/>
          <w:lang w:val="fr-FR"/>
        </w:rPr>
      </w:pPr>
      <w:r>
        <w:rPr>
          <w:rFonts w:ascii="Arial" w:eastAsia="Arial" w:hAnsi="Arial" w:cs="Arial"/>
          <w:sz w:val="16"/>
          <w:vertAlign w:val="superscript"/>
          <w:lang w:val="fr-FR"/>
        </w:rPr>
        <w:t>6</w:t>
      </w:r>
      <w:r w:rsidRPr="00366851">
        <w:rPr>
          <w:rFonts w:ascii="Arial" w:eastAsia="Arial" w:hAnsi="Arial" w:cs="Arial"/>
          <w:sz w:val="16"/>
          <w:szCs w:val="18"/>
          <w:lang w:val="fr-FR"/>
        </w:rPr>
        <w:t xml:space="preserve"> On parle de faible poids à la naissance lorsque le poids d'un bébé à la naissance est inférieur à 2500 grammes. Les nourrissons qui pèsent moins de 2500 grammes ont environ 20 fois plus de risques de mourir que les bébés plus lourds (UNICEF, 2004).</w:t>
      </w:r>
    </w:p>
    <w:p w14:paraId="72445AC4" w14:textId="77777777" w:rsidR="00556528" w:rsidRDefault="00556528" w:rsidP="004A5A5C">
      <w:pPr>
        <w:rPr>
          <w:rFonts w:ascii="Arial" w:eastAsia="Arial" w:hAnsi="Arial" w:cs="Arial"/>
          <w:b/>
          <w:bCs/>
          <w:sz w:val="22"/>
          <w:szCs w:val="22"/>
          <w:lang w:val="fr-FR"/>
        </w:rPr>
      </w:pPr>
      <w:r>
        <w:rPr>
          <w:szCs w:val="22"/>
          <w:lang w:val="fr-FR"/>
        </w:rPr>
        <w:br w:type="page"/>
      </w:r>
    </w:p>
    <w:p w14:paraId="3BE1B6C2" w14:textId="41E44FF5" w:rsidR="00025DDE" w:rsidRPr="004A5A5C" w:rsidRDefault="00025DDE" w:rsidP="004A5A5C">
      <w:pPr>
        <w:pStyle w:val="StyleFactsheetHeading11pt"/>
        <w:keepNext/>
        <w:keepLines/>
        <w:spacing w:before="0"/>
        <w:rPr>
          <w:b w:val="0"/>
          <w:sz w:val="26"/>
          <w:szCs w:val="26"/>
          <w:lang w:val="fr-FR"/>
        </w:rPr>
      </w:pPr>
      <w:r>
        <w:rPr>
          <w:sz w:val="26"/>
          <w:lang w:val="fr-FR"/>
        </w:rPr>
        <w:lastRenderedPageBreak/>
        <w:t>Impact des maladies liées au WASH sur la SRMNI</w:t>
      </w:r>
    </w:p>
    <w:p w14:paraId="2E47600A" w14:textId="73A3C2A1" w:rsidR="00457364" w:rsidRDefault="00457364" w:rsidP="004A5A5C">
      <w:pPr>
        <w:pStyle w:val="StyleFactsheetHeading11pt"/>
        <w:keepNext/>
        <w:keepLines/>
        <w:spacing w:before="0" w:after="0"/>
        <w:rPr>
          <w:b w:val="0"/>
          <w:szCs w:val="22"/>
          <w:lang w:val="fr-FR"/>
        </w:rPr>
      </w:pPr>
      <w:r>
        <w:rPr>
          <w:b w:val="0"/>
          <w:lang w:val="fr-FR"/>
        </w:rPr>
        <w:t>Ce tableau montre l'impact de quatre maladies liées au WASH sur les femmes enceintes, les fœtus, les nouveau-nés et les enfants.</w:t>
      </w:r>
    </w:p>
    <w:p w14:paraId="2A40D50D" w14:textId="77777777" w:rsidR="00556528" w:rsidRPr="00457364" w:rsidRDefault="00556528" w:rsidP="004A5A5C">
      <w:pPr>
        <w:pStyle w:val="StyleFactsheetHeading11pt"/>
        <w:keepNext/>
        <w:keepLines/>
        <w:spacing w:before="0" w:after="0"/>
        <w:rPr>
          <w:b w:val="0"/>
          <w:szCs w:val="22"/>
          <w:lang w:val="fr-FR"/>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6"/>
        <w:gridCol w:w="1560"/>
        <w:gridCol w:w="1559"/>
        <w:gridCol w:w="1908"/>
        <w:gridCol w:w="1816"/>
      </w:tblGrid>
      <w:tr w:rsidR="00025DDE" w14:paraId="1F2FD1E6" w14:textId="77777777" w:rsidTr="004A5A5C">
        <w:tc>
          <w:tcPr>
            <w:tcW w:w="2376" w:type="dxa"/>
            <w:vMerge w:val="restart"/>
            <w:vAlign w:val="center"/>
          </w:tcPr>
          <w:p w14:paraId="0F02A470" w14:textId="2C116CDD" w:rsidR="00025DDE" w:rsidRPr="002D4060" w:rsidRDefault="00025DDE" w:rsidP="004A5A5C">
            <w:pPr>
              <w:pStyle w:val="StyleFactsheetHeading11pt"/>
              <w:spacing w:before="0" w:after="0"/>
              <w:rPr>
                <w:sz w:val="18"/>
                <w:szCs w:val="20"/>
                <w:lang w:val="fr-FR"/>
              </w:rPr>
            </w:pPr>
            <w:r>
              <w:rPr>
                <w:sz w:val="18"/>
                <w:lang w:val="fr-FR"/>
              </w:rPr>
              <w:t>Maladies liées au WASH</w:t>
            </w:r>
          </w:p>
        </w:tc>
        <w:tc>
          <w:tcPr>
            <w:tcW w:w="1560" w:type="dxa"/>
          </w:tcPr>
          <w:p w14:paraId="736B1C60" w14:textId="338A2537" w:rsidR="00025DDE" w:rsidRPr="002D4060" w:rsidRDefault="00025DDE" w:rsidP="004A5A5C">
            <w:pPr>
              <w:pStyle w:val="StyleFactsheetHeading11pt"/>
              <w:spacing w:before="0" w:after="0"/>
              <w:jc w:val="center"/>
              <w:rPr>
                <w:sz w:val="18"/>
                <w:szCs w:val="20"/>
                <w:lang w:val="fr-FR"/>
              </w:rPr>
            </w:pPr>
            <w:r>
              <w:rPr>
                <w:sz w:val="18"/>
                <w:lang w:val="fr-FR"/>
              </w:rPr>
              <w:t>Choléra</w:t>
            </w:r>
          </w:p>
        </w:tc>
        <w:tc>
          <w:tcPr>
            <w:tcW w:w="1559" w:type="dxa"/>
          </w:tcPr>
          <w:p w14:paraId="6F2C77D9" w14:textId="55C27B08" w:rsidR="00025DDE" w:rsidRPr="002D4060" w:rsidRDefault="00025DDE" w:rsidP="004A5A5C">
            <w:pPr>
              <w:pStyle w:val="StyleFactsheetHeading11pt"/>
              <w:spacing w:before="0" w:after="0"/>
              <w:jc w:val="center"/>
              <w:rPr>
                <w:sz w:val="18"/>
                <w:szCs w:val="20"/>
                <w:lang w:val="fr-FR"/>
              </w:rPr>
            </w:pPr>
            <w:r>
              <w:rPr>
                <w:sz w:val="18"/>
                <w:lang w:val="fr-FR"/>
              </w:rPr>
              <w:t>Hépatite E</w:t>
            </w:r>
          </w:p>
        </w:tc>
        <w:tc>
          <w:tcPr>
            <w:tcW w:w="1908" w:type="dxa"/>
          </w:tcPr>
          <w:p w14:paraId="17FEAC1B" w14:textId="20F6C9C2" w:rsidR="00025DDE" w:rsidRPr="002D4060" w:rsidRDefault="00025DDE" w:rsidP="004A5A5C">
            <w:pPr>
              <w:pStyle w:val="StyleFactsheetHeading11pt"/>
              <w:spacing w:before="0" w:after="0"/>
              <w:jc w:val="center"/>
              <w:rPr>
                <w:sz w:val="18"/>
                <w:szCs w:val="20"/>
                <w:lang w:val="fr-FR"/>
              </w:rPr>
            </w:pPr>
            <w:r>
              <w:rPr>
                <w:sz w:val="18"/>
                <w:lang w:val="fr-FR"/>
              </w:rPr>
              <w:t>Toxoplasmose</w:t>
            </w:r>
          </w:p>
        </w:tc>
        <w:tc>
          <w:tcPr>
            <w:tcW w:w="1816" w:type="dxa"/>
          </w:tcPr>
          <w:p w14:paraId="201D4D6B" w14:textId="36A6E7E0" w:rsidR="00025DDE" w:rsidRPr="002D4060" w:rsidRDefault="00025DDE" w:rsidP="004A5A5C">
            <w:pPr>
              <w:pStyle w:val="StyleFactsheetHeading11pt"/>
              <w:spacing w:before="0" w:after="0"/>
              <w:jc w:val="center"/>
              <w:rPr>
                <w:sz w:val="18"/>
                <w:szCs w:val="20"/>
                <w:lang w:val="fr-FR"/>
              </w:rPr>
            </w:pPr>
            <w:r>
              <w:rPr>
                <w:sz w:val="18"/>
                <w:lang w:val="fr-FR"/>
              </w:rPr>
              <w:t>Schistosomiase</w:t>
            </w:r>
          </w:p>
        </w:tc>
      </w:tr>
      <w:tr w:rsidR="00025DDE" w14:paraId="4BF308C9" w14:textId="77777777" w:rsidTr="004A5A5C">
        <w:tc>
          <w:tcPr>
            <w:tcW w:w="2376" w:type="dxa"/>
            <w:vMerge/>
          </w:tcPr>
          <w:p w14:paraId="089417BC" w14:textId="77777777" w:rsidR="00025DDE" w:rsidRPr="002D4060" w:rsidRDefault="00025DDE" w:rsidP="004A5A5C">
            <w:pPr>
              <w:pStyle w:val="StyleFactsheetHeading11pt"/>
              <w:spacing w:before="0" w:after="0"/>
              <w:rPr>
                <w:sz w:val="18"/>
                <w:szCs w:val="20"/>
                <w:lang w:val="fr-FR"/>
              </w:rPr>
            </w:pPr>
          </w:p>
        </w:tc>
        <w:tc>
          <w:tcPr>
            <w:tcW w:w="1560" w:type="dxa"/>
            <w:vAlign w:val="center"/>
          </w:tcPr>
          <w:p w14:paraId="345F3D19" w14:textId="01C8D400" w:rsidR="00025DDE" w:rsidRPr="002D4060" w:rsidRDefault="00A011FF" w:rsidP="004A5A5C">
            <w:pPr>
              <w:pStyle w:val="StyleFactsheetHeading11pt"/>
              <w:spacing w:before="0" w:after="0"/>
              <w:jc w:val="center"/>
              <w:rPr>
                <w:b w:val="0"/>
                <w:sz w:val="18"/>
                <w:szCs w:val="20"/>
                <w:lang w:val="fr-FR"/>
              </w:rPr>
            </w:pPr>
            <w:r>
              <w:rPr>
                <w:b w:val="0"/>
                <w:sz w:val="18"/>
                <w:lang w:val="fr-FR"/>
              </w:rPr>
              <w:t>Se contracte en consommant de l'eau et des aliments contaminés</w:t>
            </w:r>
          </w:p>
        </w:tc>
        <w:tc>
          <w:tcPr>
            <w:tcW w:w="1559" w:type="dxa"/>
            <w:vAlign w:val="center"/>
          </w:tcPr>
          <w:p w14:paraId="44B7AB98" w14:textId="1079BF7F" w:rsidR="00025DDE" w:rsidRPr="002D4060" w:rsidRDefault="00A011FF" w:rsidP="004A5A5C">
            <w:pPr>
              <w:pStyle w:val="StyleFactsheetHeading11pt"/>
              <w:spacing w:before="0" w:after="0"/>
              <w:jc w:val="center"/>
              <w:rPr>
                <w:b w:val="0"/>
                <w:sz w:val="18"/>
                <w:szCs w:val="20"/>
                <w:lang w:val="fr-FR"/>
              </w:rPr>
            </w:pPr>
            <w:r>
              <w:rPr>
                <w:b w:val="0"/>
                <w:sz w:val="18"/>
                <w:lang w:val="fr-FR"/>
              </w:rPr>
              <w:t>Se contracte en consommant de l'eau et des aliments contaminés</w:t>
            </w:r>
          </w:p>
        </w:tc>
        <w:tc>
          <w:tcPr>
            <w:tcW w:w="1908" w:type="dxa"/>
            <w:vAlign w:val="center"/>
          </w:tcPr>
          <w:p w14:paraId="553EB2F2" w14:textId="29B42729" w:rsidR="00025DDE" w:rsidRPr="002D4060" w:rsidRDefault="00A011FF" w:rsidP="004A5A5C">
            <w:pPr>
              <w:pStyle w:val="StyleFactsheetHeading11pt"/>
              <w:spacing w:before="0" w:after="0"/>
              <w:jc w:val="center"/>
              <w:rPr>
                <w:b w:val="0"/>
                <w:sz w:val="18"/>
                <w:szCs w:val="20"/>
                <w:lang w:val="fr-FR"/>
              </w:rPr>
            </w:pPr>
            <w:r>
              <w:rPr>
                <w:b w:val="0"/>
                <w:sz w:val="18"/>
                <w:lang w:val="fr-FR"/>
              </w:rPr>
              <w:t>Se contracte en consommant de l'eau et des aliments contaminés</w:t>
            </w:r>
          </w:p>
        </w:tc>
        <w:tc>
          <w:tcPr>
            <w:tcW w:w="1816" w:type="dxa"/>
            <w:vAlign w:val="center"/>
          </w:tcPr>
          <w:p w14:paraId="6163C7C0" w14:textId="66FC4DED" w:rsidR="00025DDE" w:rsidRPr="002D4060" w:rsidRDefault="00A011FF" w:rsidP="004A5A5C">
            <w:pPr>
              <w:pStyle w:val="StyleFactsheetHeading11pt"/>
              <w:spacing w:before="0" w:after="0"/>
              <w:jc w:val="center"/>
              <w:rPr>
                <w:b w:val="0"/>
                <w:sz w:val="18"/>
                <w:szCs w:val="20"/>
                <w:lang w:val="fr-FR"/>
              </w:rPr>
            </w:pPr>
            <w:r>
              <w:rPr>
                <w:b w:val="0"/>
                <w:sz w:val="18"/>
                <w:lang w:val="fr-FR"/>
              </w:rPr>
              <w:t>Se contracte par contact avec de l'eau contaminée (notamment par la toilette ou en nageant)</w:t>
            </w:r>
          </w:p>
        </w:tc>
      </w:tr>
      <w:tr w:rsidR="00025DDE" w14:paraId="6B441F3C" w14:textId="77777777" w:rsidTr="004A5A5C">
        <w:trPr>
          <w:trHeight w:val="1966"/>
        </w:trPr>
        <w:tc>
          <w:tcPr>
            <w:tcW w:w="2376" w:type="dxa"/>
          </w:tcPr>
          <w:p w14:paraId="45A4E069" w14:textId="2D6F71DD" w:rsidR="00025DDE" w:rsidRPr="002D4060" w:rsidRDefault="00A011FF" w:rsidP="004A5A5C">
            <w:pPr>
              <w:pStyle w:val="StyleFactsheetHeading11pt"/>
              <w:spacing w:before="0" w:after="0"/>
              <w:jc w:val="center"/>
              <w:rPr>
                <w:b w:val="0"/>
                <w:sz w:val="18"/>
                <w:szCs w:val="20"/>
                <w:lang w:val="fr-FR"/>
              </w:rPr>
            </w:pPr>
            <w:r w:rsidRPr="002D4060">
              <w:rPr>
                <w:rFonts w:ascii="Times New Roman" w:hAnsi="Times New Roman" w:cs="Times New Roman"/>
                <w:noProof/>
                <w:sz w:val="18"/>
                <w:szCs w:val="24"/>
                <w:lang w:val="en-CA" w:eastAsia="en-CA"/>
              </w:rPr>
              <w:drawing>
                <wp:inline distT="0" distB="0" distL="0" distR="0" wp14:anchorId="276FF265" wp14:editId="44F93236">
                  <wp:extent cx="905743" cy="905743"/>
                  <wp:effectExtent l="0" t="0" r="0" b="8890"/>
                  <wp:docPr id="10" name="Picture 10" descr="pregn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regna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450" cy="9064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sz w:val="18"/>
                <w:lang w:val="fr-FR"/>
              </w:rPr>
              <w:t>Femmes enceintes</w:t>
            </w:r>
          </w:p>
        </w:tc>
        <w:tc>
          <w:tcPr>
            <w:tcW w:w="1560" w:type="dxa"/>
            <w:vAlign w:val="center"/>
          </w:tcPr>
          <w:p w14:paraId="6141EA5E" w14:textId="37B2B752" w:rsidR="00025DDE" w:rsidRPr="002D4060" w:rsidRDefault="00E25F14" w:rsidP="004A5A5C">
            <w:pPr>
              <w:pStyle w:val="StyleFactsheetHeading11pt"/>
              <w:spacing w:before="0" w:after="0"/>
              <w:jc w:val="center"/>
              <w:rPr>
                <w:b w:val="0"/>
                <w:sz w:val="18"/>
                <w:szCs w:val="20"/>
                <w:lang w:val="fr-FR"/>
              </w:rPr>
            </w:pPr>
            <w:r>
              <w:rPr>
                <w:b w:val="0"/>
                <w:sz w:val="18"/>
                <w:lang w:val="fr-FR"/>
              </w:rPr>
              <w:t xml:space="preserve">Les femmes enceintes ont </w:t>
            </w:r>
            <w:r w:rsidR="00A011FF" w:rsidRPr="002D4060">
              <w:rPr>
                <w:sz w:val="18"/>
                <w:szCs w:val="20"/>
                <w:lang w:val="fr-FR"/>
              </w:rPr>
              <w:t>deux fois plus de risques</w:t>
            </w:r>
            <w:r>
              <w:rPr>
                <w:b w:val="0"/>
                <w:sz w:val="18"/>
                <w:lang w:val="fr-FR"/>
              </w:rPr>
              <w:t xml:space="preserve"> de mourir</w:t>
            </w:r>
          </w:p>
        </w:tc>
        <w:tc>
          <w:tcPr>
            <w:tcW w:w="1559" w:type="dxa"/>
            <w:vAlign w:val="center"/>
          </w:tcPr>
          <w:p w14:paraId="38C90A44" w14:textId="0188B72F" w:rsidR="00025DDE" w:rsidRPr="002D4060" w:rsidRDefault="004B4FA9" w:rsidP="004A5A5C">
            <w:pPr>
              <w:pStyle w:val="StyleFactsheetHeading11pt"/>
              <w:spacing w:before="0" w:after="0"/>
              <w:jc w:val="center"/>
              <w:rPr>
                <w:b w:val="0"/>
                <w:sz w:val="18"/>
                <w:szCs w:val="20"/>
                <w:lang w:val="fr-FR"/>
              </w:rPr>
            </w:pPr>
            <w:r>
              <w:rPr>
                <w:sz w:val="18"/>
                <w:lang w:val="fr-FR"/>
              </w:rPr>
              <w:t>20%</w:t>
            </w:r>
            <w:r w:rsidR="00A011FF" w:rsidRPr="002D4060">
              <w:rPr>
                <w:b w:val="0"/>
                <w:sz w:val="18"/>
                <w:szCs w:val="20"/>
                <w:lang w:val="fr-FR"/>
              </w:rPr>
              <w:t xml:space="preserve"> des femmes enceintes meurent</w:t>
            </w:r>
          </w:p>
        </w:tc>
        <w:tc>
          <w:tcPr>
            <w:tcW w:w="1908" w:type="dxa"/>
            <w:vAlign w:val="center"/>
          </w:tcPr>
          <w:p w14:paraId="139B9EAF" w14:textId="645E12BA" w:rsidR="00025DDE" w:rsidRPr="002D4060" w:rsidRDefault="00A011FF" w:rsidP="004A5A5C">
            <w:pPr>
              <w:pStyle w:val="StyleFactsheetHeading11pt"/>
              <w:spacing w:before="0" w:after="0"/>
              <w:jc w:val="center"/>
              <w:rPr>
                <w:b w:val="0"/>
                <w:sz w:val="18"/>
                <w:szCs w:val="20"/>
                <w:lang w:val="fr-FR"/>
              </w:rPr>
            </w:pPr>
            <w:r>
              <w:rPr>
                <w:b w:val="0"/>
                <w:sz w:val="18"/>
                <w:lang w:val="fr-FR"/>
              </w:rPr>
              <w:t xml:space="preserve">Les femmes enceintes ont </w:t>
            </w:r>
            <w:r w:rsidRPr="002D4060">
              <w:rPr>
                <w:sz w:val="18"/>
                <w:szCs w:val="20"/>
                <w:lang w:val="fr-FR"/>
              </w:rPr>
              <w:t>deux fois plus de risques</w:t>
            </w:r>
            <w:r>
              <w:rPr>
                <w:b w:val="0"/>
                <w:sz w:val="18"/>
                <w:lang w:val="fr-FR"/>
              </w:rPr>
              <w:t xml:space="preserve"> de mourir</w:t>
            </w:r>
          </w:p>
        </w:tc>
        <w:tc>
          <w:tcPr>
            <w:tcW w:w="1816" w:type="dxa"/>
            <w:vAlign w:val="center"/>
          </w:tcPr>
          <w:p w14:paraId="54235A18" w14:textId="010AECA4" w:rsidR="00025DDE" w:rsidRPr="002D4060" w:rsidRDefault="00A011FF" w:rsidP="004A5A5C">
            <w:pPr>
              <w:pStyle w:val="StyleFactsheetHeading11pt"/>
              <w:spacing w:before="0" w:after="0"/>
              <w:jc w:val="center"/>
              <w:rPr>
                <w:b w:val="0"/>
                <w:sz w:val="18"/>
                <w:szCs w:val="20"/>
                <w:lang w:val="fr-FR"/>
              </w:rPr>
            </w:pPr>
            <w:r>
              <w:rPr>
                <w:sz w:val="18"/>
                <w:lang w:val="fr-FR"/>
              </w:rPr>
              <w:t>65%</w:t>
            </w:r>
            <w:r w:rsidRPr="002D4060">
              <w:rPr>
                <w:b w:val="0"/>
                <w:sz w:val="18"/>
                <w:szCs w:val="20"/>
                <w:lang w:val="fr-FR"/>
              </w:rPr>
              <w:t xml:space="preserve"> des femmes enceintes souffrent d'anémie</w:t>
            </w:r>
          </w:p>
        </w:tc>
      </w:tr>
      <w:tr w:rsidR="00025DDE" w14:paraId="5959569D" w14:textId="77777777" w:rsidTr="004A5A5C">
        <w:trPr>
          <w:trHeight w:val="2096"/>
        </w:trPr>
        <w:tc>
          <w:tcPr>
            <w:tcW w:w="2376" w:type="dxa"/>
          </w:tcPr>
          <w:p w14:paraId="4661DA45" w14:textId="28A73147" w:rsidR="0098471C" w:rsidRDefault="0098471C" w:rsidP="004A5A5C">
            <w:pPr>
              <w:pStyle w:val="StyleFactsheetHeading11pt"/>
              <w:spacing w:before="0" w:after="0"/>
              <w:jc w:val="center"/>
              <w:rPr>
                <w:sz w:val="18"/>
                <w:szCs w:val="20"/>
                <w:lang w:val="fr-FR"/>
              </w:rPr>
            </w:pPr>
            <w:r w:rsidRPr="002D4060">
              <w:rPr>
                <w:rFonts w:ascii="Times New Roman" w:hAnsi="Times New Roman" w:cs="Times New Roman"/>
                <w:noProof/>
                <w:sz w:val="18"/>
                <w:szCs w:val="24"/>
                <w:lang w:val="en-CA" w:eastAsia="en-CA"/>
              </w:rPr>
              <w:drawing>
                <wp:anchor distT="0" distB="0" distL="114300" distR="114300" simplePos="0" relativeHeight="251661312" behindDoc="0" locked="0" layoutInCell="1" allowOverlap="1" wp14:anchorId="7226B985" wp14:editId="7F8B4A78">
                  <wp:simplePos x="0" y="0"/>
                  <wp:positionH relativeFrom="column">
                    <wp:posOffset>356235</wp:posOffset>
                  </wp:positionH>
                  <wp:positionV relativeFrom="paragraph">
                    <wp:posOffset>115570</wp:posOffset>
                  </wp:positionV>
                  <wp:extent cx="758190" cy="918845"/>
                  <wp:effectExtent l="0" t="0" r="3810" b="0"/>
                  <wp:wrapTight wrapText="bothSides">
                    <wp:wrapPolygon edited="0">
                      <wp:start x="5789" y="0"/>
                      <wp:lineTo x="2171" y="2388"/>
                      <wp:lineTo x="0" y="5971"/>
                      <wp:lineTo x="0" y="16719"/>
                      <wp:lineTo x="724" y="19107"/>
                      <wp:lineTo x="3618" y="20898"/>
                      <wp:lineTo x="4342" y="20898"/>
                      <wp:lineTo x="14472" y="20898"/>
                      <wp:lineTo x="18090" y="19107"/>
                      <wp:lineTo x="20985" y="15525"/>
                      <wp:lineTo x="20985" y="3583"/>
                      <wp:lineTo x="15196" y="0"/>
                      <wp:lineTo x="5789" y="0"/>
                    </wp:wrapPolygon>
                  </wp:wrapTight>
                  <wp:docPr id="9" name="Picture 9" descr="fe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etu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190" cy="9188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FF5485" w14:textId="77777777" w:rsidR="0098471C" w:rsidRDefault="0098471C" w:rsidP="004A5A5C">
            <w:pPr>
              <w:pStyle w:val="StyleFactsheetHeading11pt"/>
              <w:spacing w:before="0" w:after="0"/>
              <w:jc w:val="center"/>
              <w:rPr>
                <w:sz w:val="18"/>
                <w:szCs w:val="20"/>
                <w:lang w:val="fr-FR"/>
              </w:rPr>
            </w:pPr>
          </w:p>
          <w:p w14:paraId="2F6F3CCE" w14:textId="1A181340" w:rsidR="00025DDE" w:rsidRPr="002D4060" w:rsidRDefault="00457364" w:rsidP="004A5A5C">
            <w:pPr>
              <w:pStyle w:val="StyleFactsheetHeading11pt"/>
              <w:spacing w:before="0" w:after="0"/>
              <w:jc w:val="center"/>
              <w:rPr>
                <w:sz w:val="18"/>
                <w:szCs w:val="20"/>
                <w:lang w:val="fr-FR"/>
              </w:rPr>
            </w:pPr>
            <w:r>
              <w:rPr>
                <w:sz w:val="18"/>
                <w:lang w:val="fr-FR"/>
              </w:rPr>
              <w:t>Fœtus</w:t>
            </w:r>
          </w:p>
        </w:tc>
        <w:tc>
          <w:tcPr>
            <w:tcW w:w="1560" w:type="dxa"/>
            <w:vAlign w:val="center"/>
          </w:tcPr>
          <w:p w14:paraId="597C75FD" w14:textId="1B250621" w:rsidR="00025DDE" w:rsidRPr="002D4060" w:rsidRDefault="00A011FF" w:rsidP="004A5A5C">
            <w:pPr>
              <w:pStyle w:val="StyleFactsheetHeading11pt"/>
              <w:spacing w:before="0" w:after="0"/>
              <w:jc w:val="center"/>
              <w:rPr>
                <w:b w:val="0"/>
                <w:sz w:val="18"/>
                <w:szCs w:val="20"/>
                <w:lang w:val="fr-FR"/>
              </w:rPr>
            </w:pPr>
            <w:r>
              <w:rPr>
                <w:sz w:val="18"/>
                <w:lang w:val="fr-FR"/>
              </w:rPr>
              <w:t>30%</w:t>
            </w:r>
            <w:r w:rsidRPr="002D4060">
              <w:rPr>
                <w:b w:val="0"/>
                <w:sz w:val="18"/>
                <w:szCs w:val="20"/>
                <w:lang w:val="fr-FR"/>
              </w:rPr>
              <w:t xml:space="preserve"> des fœtus meurent</w:t>
            </w:r>
          </w:p>
        </w:tc>
        <w:tc>
          <w:tcPr>
            <w:tcW w:w="1559" w:type="dxa"/>
            <w:vAlign w:val="center"/>
          </w:tcPr>
          <w:p w14:paraId="16C74BDF" w14:textId="7668DC74" w:rsidR="00025DDE" w:rsidRPr="002D4060" w:rsidRDefault="00A011FF" w:rsidP="004A5A5C">
            <w:pPr>
              <w:pStyle w:val="StyleFactsheetHeading11pt"/>
              <w:spacing w:before="0" w:after="0"/>
              <w:jc w:val="center"/>
              <w:rPr>
                <w:b w:val="0"/>
                <w:sz w:val="18"/>
                <w:szCs w:val="20"/>
                <w:lang w:val="fr-FR"/>
              </w:rPr>
            </w:pPr>
            <w:r>
              <w:rPr>
                <w:sz w:val="18"/>
                <w:lang w:val="fr-FR"/>
              </w:rPr>
              <w:t>45%</w:t>
            </w:r>
            <w:r w:rsidRPr="002D4060">
              <w:rPr>
                <w:b w:val="0"/>
                <w:sz w:val="18"/>
                <w:szCs w:val="20"/>
                <w:lang w:val="fr-FR"/>
              </w:rPr>
              <w:t xml:space="preserve"> des fœtus naissent prématurément</w:t>
            </w:r>
          </w:p>
        </w:tc>
        <w:tc>
          <w:tcPr>
            <w:tcW w:w="1908" w:type="dxa"/>
            <w:vAlign w:val="center"/>
          </w:tcPr>
          <w:p w14:paraId="76B65F22" w14:textId="2FDE49E3" w:rsidR="00025DDE" w:rsidRPr="002D4060" w:rsidRDefault="00A011FF" w:rsidP="004A5A5C">
            <w:pPr>
              <w:pStyle w:val="StyleFactsheetHeading11pt"/>
              <w:spacing w:before="0" w:after="0"/>
              <w:jc w:val="center"/>
              <w:rPr>
                <w:b w:val="0"/>
                <w:sz w:val="18"/>
                <w:szCs w:val="20"/>
                <w:lang w:val="fr-FR"/>
              </w:rPr>
            </w:pPr>
            <w:r>
              <w:rPr>
                <w:b w:val="0"/>
                <w:sz w:val="18"/>
                <w:lang w:val="fr-FR"/>
              </w:rPr>
              <w:t xml:space="preserve">Les fœtus ont </w:t>
            </w:r>
            <w:r w:rsidRPr="002D4060">
              <w:rPr>
                <w:sz w:val="18"/>
                <w:szCs w:val="20"/>
                <w:lang w:val="fr-FR"/>
              </w:rPr>
              <w:t>trois fois plus de risques</w:t>
            </w:r>
            <w:r>
              <w:rPr>
                <w:b w:val="0"/>
                <w:sz w:val="18"/>
                <w:lang w:val="fr-FR"/>
              </w:rPr>
              <w:t xml:space="preserve"> de naitre prématurément. Les fœtus ont </w:t>
            </w:r>
            <w:r w:rsidRPr="002D4060">
              <w:rPr>
                <w:sz w:val="18"/>
                <w:szCs w:val="20"/>
                <w:lang w:val="fr-FR"/>
              </w:rPr>
              <w:t>presque six fois plus de risques</w:t>
            </w:r>
            <w:r>
              <w:rPr>
                <w:b w:val="0"/>
                <w:sz w:val="18"/>
                <w:lang w:val="fr-FR"/>
              </w:rPr>
              <w:t xml:space="preserve"> de naitre avec une anomalie.</w:t>
            </w:r>
          </w:p>
        </w:tc>
        <w:tc>
          <w:tcPr>
            <w:tcW w:w="1816" w:type="dxa"/>
            <w:vAlign w:val="center"/>
          </w:tcPr>
          <w:p w14:paraId="4D6C933D" w14:textId="7DC54F5F" w:rsidR="00025DDE" w:rsidRPr="002D4060" w:rsidRDefault="00A011FF" w:rsidP="004A5A5C">
            <w:pPr>
              <w:pStyle w:val="StyleFactsheetHeading11pt"/>
              <w:spacing w:before="0" w:after="0"/>
              <w:jc w:val="center"/>
              <w:rPr>
                <w:b w:val="0"/>
                <w:sz w:val="18"/>
                <w:szCs w:val="20"/>
                <w:lang w:val="fr-FR"/>
              </w:rPr>
            </w:pPr>
            <w:r>
              <w:rPr>
                <w:sz w:val="18"/>
                <w:lang w:val="fr-FR"/>
              </w:rPr>
              <w:t xml:space="preserve">45% </w:t>
            </w:r>
            <w:r w:rsidRPr="002D4060">
              <w:rPr>
                <w:b w:val="0"/>
                <w:sz w:val="18"/>
                <w:szCs w:val="20"/>
                <w:lang w:val="fr-FR"/>
              </w:rPr>
              <w:t>des fœtus naissent avec un poids faible</w:t>
            </w:r>
          </w:p>
        </w:tc>
      </w:tr>
      <w:tr w:rsidR="00025DDE" w14:paraId="310DC797" w14:textId="77777777" w:rsidTr="004A5A5C">
        <w:tc>
          <w:tcPr>
            <w:tcW w:w="2376" w:type="dxa"/>
          </w:tcPr>
          <w:p w14:paraId="535C9B80" w14:textId="6D453E47" w:rsidR="00025DDE" w:rsidRPr="002D4060" w:rsidRDefault="00457364" w:rsidP="004A5A5C">
            <w:pPr>
              <w:pStyle w:val="StyleFactsheetHeading11pt"/>
              <w:spacing w:before="0" w:after="0"/>
              <w:jc w:val="center"/>
              <w:rPr>
                <w:sz w:val="18"/>
                <w:szCs w:val="20"/>
                <w:lang w:val="fr-FR"/>
              </w:rPr>
            </w:pPr>
            <w:r w:rsidRPr="002D4060">
              <w:rPr>
                <w:rFonts w:ascii="Times New Roman" w:hAnsi="Times New Roman" w:cs="Times New Roman"/>
                <w:noProof/>
                <w:sz w:val="18"/>
                <w:szCs w:val="24"/>
                <w:lang w:val="en-CA" w:eastAsia="en-CA"/>
              </w:rPr>
              <w:drawing>
                <wp:anchor distT="0" distB="0" distL="114300" distR="114300" simplePos="0" relativeHeight="251650048" behindDoc="0" locked="0" layoutInCell="1" allowOverlap="1" wp14:anchorId="4B86EA27" wp14:editId="682CD1F9">
                  <wp:simplePos x="0" y="0"/>
                  <wp:positionH relativeFrom="column">
                    <wp:align>center</wp:align>
                  </wp:positionH>
                  <wp:positionV relativeFrom="paragraph">
                    <wp:posOffset>71120</wp:posOffset>
                  </wp:positionV>
                  <wp:extent cx="1155065" cy="1155065"/>
                  <wp:effectExtent l="0" t="0" r="0" b="0"/>
                  <wp:wrapTight wrapText="bothSides">
                    <wp:wrapPolygon edited="0">
                      <wp:start x="9500" y="1900"/>
                      <wp:lineTo x="8550" y="3325"/>
                      <wp:lineTo x="4750" y="9500"/>
                      <wp:lineTo x="4750" y="12350"/>
                      <wp:lineTo x="7600" y="18049"/>
                      <wp:lineTo x="8550" y="18999"/>
                      <wp:lineTo x="12350" y="18999"/>
                      <wp:lineTo x="13300" y="18049"/>
                      <wp:lineTo x="16625" y="11875"/>
                      <wp:lineTo x="16150" y="9500"/>
                      <wp:lineTo x="12350" y="3325"/>
                      <wp:lineTo x="11400" y="1900"/>
                      <wp:lineTo x="9500" y="1900"/>
                    </wp:wrapPolygon>
                  </wp:wrapTight>
                  <wp:docPr id="8" name="Picture 8" descr="https://lh4.googleusercontent.com/OGYjhn8fUASjPT4OZM-xvzmBroQMe7wRf6Rku4r1W-piOnA4m8K2RnxCodpZyLN0nt8BMbNzKb3s_aWo4TbQyJHPVesEudmiyQOxLGEZ-FozA5ySTMJjg1soRtXVH_sPvcNW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lh4.googleusercontent.com/OGYjhn8fUASjPT4OZM-xvzmBroQMe7wRf6Rku4r1W-piOnA4m8K2RnxCodpZyLN0nt8BMbNzKb3s_aWo4TbQyJHPVesEudmiyQOxLGEZ-FozA5ySTMJjg1soRtXVH_sPvcNWq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065" cy="11550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sz w:val="18"/>
                <w:lang w:val="fr-FR"/>
              </w:rPr>
              <w:t>Nouveau-nés et enfants</w:t>
            </w:r>
          </w:p>
        </w:tc>
        <w:tc>
          <w:tcPr>
            <w:tcW w:w="1560" w:type="dxa"/>
            <w:vAlign w:val="center"/>
          </w:tcPr>
          <w:p w14:paraId="22C66EDE" w14:textId="1582DB69" w:rsidR="00025DDE" w:rsidRPr="002D4060" w:rsidRDefault="00A011FF" w:rsidP="004A5A5C">
            <w:pPr>
              <w:pStyle w:val="StyleFactsheetHeading11pt"/>
              <w:spacing w:before="0" w:after="0"/>
              <w:jc w:val="center"/>
              <w:rPr>
                <w:b w:val="0"/>
                <w:sz w:val="18"/>
                <w:szCs w:val="20"/>
                <w:lang w:val="fr-FR"/>
              </w:rPr>
            </w:pPr>
            <w:r>
              <w:rPr>
                <w:b w:val="0"/>
                <w:sz w:val="18"/>
                <w:lang w:val="fr-FR"/>
              </w:rPr>
              <w:t xml:space="preserve">Les nouveau-nés ont </w:t>
            </w:r>
            <w:r w:rsidRPr="002D4060">
              <w:rPr>
                <w:sz w:val="18"/>
                <w:szCs w:val="20"/>
                <w:lang w:val="fr-FR"/>
              </w:rPr>
              <w:t>huit fois plus de risques</w:t>
            </w:r>
            <w:r>
              <w:rPr>
                <w:b w:val="0"/>
                <w:sz w:val="18"/>
                <w:lang w:val="fr-FR"/>
              </w:rPr>
              <w:t xml:space="preserve"> de mourir que les adultes.</w:t>
            </w:r>
          </w:p>
        </w:tc>
        <w:tc>
          <w:tcPr>
            <w:tcW w:w="1559" w:type="dxa"/>
            <w:vAlign w:val="center"/>
          </w:tcPr>
          <w:p w14:paraId="31980DAC" w14:textId="58281433" w:rsidR="00025DDE" w:rsidRPr="002D4060" w:rsidRDefault="00A011FF" w:rsidP="004A5A5C">
            <w:pPr>
              <w:pStyle w:val="StyleFactsheetHeading11pt"/>
              <w:spacing w:before="0" w:after="0"/>
              <w:jc w:val="center"/>
              <w:rPr>
                <w:b w:val="0"/>
                <w:sz w:val="18"/>
                <w:szCs w:val="20"/>
                <w:lang w:val="fr-FR"/>
              </w:rPr>
            </w:pPr>
            <w:r>
              <w:rPr>
                <w:sz w:val="18"/>
                <w:lang w:val="fr-FR"/>
              </w:rPr>
              <w:t>25%</w:t>
            </w:r>
            <w:r w:rsidRPr="002D4060">
              <w:rPr>
                <w:b w:val="0"/>
                <w:sz w:val="18"/>
                <w:szCs w:val="20"/>
                <w:lang w:val="fr-FR"/>
              </w:rPr>
              <w:t xml:space="preserve"> des nouveau-nés meurent</w:t>
            </w:r>
          </w:p>
        </w:tc>
        <w:tc>
          <w:tcPr>
            <w:tcW w:w="1908" w:type="dxa"/>
            <w:vAlign w:val="center"/>
          </w:tcPr>
          <w:p w14:paraId="31513CDA" w14:textId="77777777" w:rsidR="00025DDE" w:rsidRPr="002D4060" w:rsidRDefault="00025DDE" w:rsidP="004A5A5C">
            <w:pPr>
              <w:pStyle w:val="StyleFactsheetHeading11pt"/>
              <w:spacing w:before="0" w:after="0"/>
              <w:jc w:val="center"/>
              <w:rPr>
                <w:b w:val="0"/>
                <w:sz w:val="18"/>
                <w:szCs w:val="20"/>
                <w:lang w:val="fr-FR"/>
              </w:rPr>
            </w:pPr>
          </w:p>
        </w:tc>
        <w:tc>
          <w:tcPr>
            <w:tcW w:w="1816" w:type="dxa"/>
            <w:vAlign w:val="center"/>
          </w:tcPr>
          <w:p w14:paraId="149847F9" w14:textId="149BC631" w:rsidR="00025DDE" w:rsidRPr="002D4060" w:rsidRDefault="00A011FF" w:rsidP="004A5A5C">
            <w:pPr>
              <w:pStyle w:val="StyleFactsheetHeading11pt"/>
              <w:spacing w:before="0" w:after="0"/>
              <w:jc w:val="center"/>
              <w:rPr>
                <w:b w:val="0"/>
                <w:sz w:val="18"/>
                <w:szCs w:val="20"/>
                <w:lang w:val="fr-FR"/>
              </w:rPr>
            </w:pPr>
            <w:r>
              <w:rPr>
                <w:sz w:val="18"/>
                <w:lang w:val="fr-FR"/>
              </w:rPr>
              <w:t>40%</w:t>
            </w:r>
            <w:r w:rsidRPr="002D4060">
              <w:rPr>
                <w:b w:val="0"/>
                <w:sz w:val="18"/>
                <w:szCs w:val="20"/>
                <w:lang w:val="fr-FR"/>
              </w:rPr>
              <w:t xml:space="preserve"> des enfants ont des taux d'anémie plus élevés</w:t>
            </w:r>
          </w:p>
        </w:tc>
      </w:tr>
    </w:tbl>
    <w:p w14:paraId="1FE0B376" w14:textId="77777777" w:rsidR="00366851" w:rsidRDefault="00366851" w:rsidP="00366851">
      <w:pPr>
        <w:pStyle w:val="StyleFactsheetHeading11pt"/>
        <w:spacing w:before="0" w:after="0"/>
        <w:rPr>
          <w:b w:val="0"/>
          <w:sz w:val="16"/>
          <w:lang w:val="fr-FR"/>
        </w:rPr>
      </w:pPr>
    </w:p>
    <w:p w14:paraId="7EB51C51" w14:textId="0E22E724" w:rsidR="002D4060" w:rsidRPr="0098471C" w:rsidRDefault="000C43BE" w:rsidP="00366851">
      <w:pPr>
        <w:pStyle w:val="StyleFactsheetHeading11pt"/>
        <w:spacing w:before="0" w:after="0"/>
        <w:rPr>
          <w:b w:val="0"/>
          <w:sz w:val="16"/>
          <w:lang w:val="fr-FR"/>
        </w:rPr>
      </w:pPr>
      <w:r>
        <w:rPr>
          <w:b w:val="0"/>
          <w:sz w:val="16"/>
          <w:lang w:val="fr-FR"/>
        </w:rPr>
        <w:t>Les statistiques du tableau proviennent des études suivantes : Ahmed et al., (2013), Ali et al., (2012), Beniwal et al., (2003), Bista and Rana (2006), Boccia (2006), Brooker et al., (2008), ICDDR, B (2009), Jaiswal et al., (2001), Khuroo et al., (2001), Kumar et al., (2004), Li et al., (2014), Patra et al., (2007), Shresta et al., (2011), Sing et al., (2003), Smith and Brooker (2010), Sousa-Figueredo et al., (2012), Thomson et al., (2013), Tsega et al., (1992). Pour les références complètes, voir le dossier technique de CAWST sur la SRMNI et les maladies liées au WASH.</w:t>
      </w:r>
    </w:p>
    <w:p w14:paraId="3A74C10B" w14:textId="77777777" w:rsidR="00556528" w:rsidRDefault="00556528">
      <w:pPr>
        <w:rPr>
          <w:rFonts w:ascii="Arial" w:eastAsia="Arial" w:hAnsi="Arial" w:cs="Arial"/>
          <w:b/>
          <w:bCs/>
          <w:sz w:val="26"/>
          <w:szCs w:val="26"/>
          <w:lang w:val="fr-FR"/>
        </w:rPr>
      </w:pPr>
      <w:r>
        <w:rPr>
          <w:sz w:val="26"/>
          <w:szCs w:val="26"/>
          <w:lang w:val="fr-FR"/>
        </w:rPr>
        <w:br w:type="page"/>
      </w:r>
    </w:p>
    <w:p w14:paraId="4A142719" w14:textId="2D1FDD2D" w:rsidR="00EA099C" w:rsidRPr="004A5A5C" w:rsidRDefault="00EA099C" w:rsidP="004A5A5C">
      <w:pPr>
        <w:pStyle w:val="StyleFactsheetHeading11pt"/>
        <w:keepNext/>
        <w:keepLines/>
        <w:spacing w:before="0"/>
        <w:rPr>
          <w:sz w:val="26"/>
          <w:szCs w:val="26"/>
          <w:lang w:val="fr-FR"/>
        </w:rPr>
      </w:pPr>
      <w:r>
        <w:rPr>
          <w:sz w:val="26"/>
          <w:lang w:val="fr-FR"/>
        </w:rPr>
        <w:lastRenderedPageBreak/>
        <w:t>Ressources supplémentaires</w:t>
      </w:r>
    </w:p>
    <w:p w14:paraId="022CCD4B" w14:textId="5876FF20" w:rsidR="00816369" w:rsidRPr="00025DDE" w:rsidRDefault="004823CD" w:rsidP="004A5A5C">
      <w:pPr>
        <w:pStyle w:val="StyleFactsheetHeading11pt"/>
        <w:keepNext/>
        <w:keepLines/>
        <w:spacing w:before="0"/>
        <w:rPr>
          <w:b w:val="0"/>
          <w:szCs w:val="22"/>
          <w:lang w:val="fr-FR"/>
        </w:rPr>
      </w:pPr>
      <w:r>
        <w:rPr>
          <w:b w:val="0"/>
          <w:lang w:val="fr-FR"/>
        </w:rPr>
        <w:t xml:space="preserve">CAWST (2014). Reproductive, Maternal, Newborn and Child Health and WASH (santé reproductive, maternelle, néonatale et infantile et WASH). CAWST, Calgary, Canada. Disponible sur : </w:t>
      </w:r>
      <w:hyperlink r:id="rId11" w:history="1">
        <w:r>
          <w:rPr>
            <w:rStyle w:val="Hyperlink"/>
            <w:b w:val="0"/>
            <w:color w:val="auto"/>
            <w:lang w:val="fr-FR"/>
          </w:rPr>
          <w:t>www.cawst.org/resources</w:t>
        </w:r>
      </w:hyperlink>
    </w:p>
    <w:p w14:paraId="0BCC563E" w14:textId="6C54CAA8" w:rsidR="00816369" w:rsidRPr="00025DDE" w:rsidRDefault="000C43BE" w:rsidP="00D70FAB">
      <w:pPr>
        <w:pStyle w:val="StyleFactsheetHeading11pt"/>
        <w:keepNext/>
        <w:keepLines/>
        <w:numPr>
          <w:ilvl w:val="0"/>
          <w:numId w:val="4"/>
        </w:numPr>
        <w:spacing w:before="0" w:after="0"/>
        <w:ind w:left="357" w:hanging="357"/>
        <w:rPr>
          <w:b w:val="0"/>
          <w:szCs w:val="22"/>
          <w:lang w:val="fr-FR"/>
        </w:rPr>
      </w:pPr>
      <w:r>
        <w:rPr>
          <w:b w:val="0"/>
          <w:lang w:val="fr-FR"/>
        </w:rPr>
        <w:t>Dans ces documents, vous trouvez des dossiers techniques qui expliquent le lien entre la SRMNI et le WASH, comment régler les problèmes par le WASH, un résumé de la littérature sur le sujet, et des fiches techniques sur les technologies de traitement de l'eau à domicile et leur efficacité sur la SRMNI.</w:t>
      </w:r>
    </w:p>
    <w:p w14:paraId="05FE3292" w14:textId="77777777" w:rsidR="00556528" w:rsidRPr="00936D11" w:rsidRDefault="00556528" w:rsidP="001A1DD4">
      <w:pPr>
        <w:rPr>
          <w:sz w:val="14"/>
          <w:szCs w:val="22"/>
          <w:lang w:val="fr-FR"/>
        </w:rPr>
      </w:pPr>
    </w:p>
    <w:p w14:paraId="3FC86436" w14:textId="188D9CD2" w:rsidR="00637EBE" w:rsidRPr="00025DDE" w:rsidRDefault="00637EBE" w:rsidP="004A5A5C">
      <w:pPr>
        <w:spacing w:after="120"/>
        <w:rPr>
          <w:rStyle w:val="Hyperlink"/>
          <w:rFonts w:ascii="Arial" w:eastAsia="Arial" w:hAnsi="Arial" w:cs="Arial"/>
          <w:bCs/>
          <w:lang w:val="fr-FR"/>
        </w:rPr>
      </w:pPr>
      <w:r>
        <w:rPr>
          <w:rFonts w:ascii="Arial" w:eastAsia="Arial" w:hAnsi="Arial" w:cs="Arial"/>
          <w:sz w:val="22"/>
          <w:lang w:val="fr-FR"/>
        </w:rPr>
        <w:t xml:space="preserve">Partnership for Maternal, Newborn, &amp; Child Health (2014). Résumé des connaissances du PMNCH n°30 Water, sanitation and hygiene - the impact on RMNCH. Disponible sur : </w:t>
      </w:r>
      <w:hyperlink r:id="rId12" w:history="1">
        <w:r>
          <w:rPr>
            <w:rStyle w:val="Hyperlink"/>
            <w:rFonts w:ascii="Arial" w:eastAsia="Arial" w:hAnsi="Arial" w:cs="Arial"/>
            <w:color w:val="auto"/>
            <w:lang w:val="fr-FR"/>
          </w:rPr>
          <w:t>http://www.who.int/pmnch/knowledge/publications/summaries/ks30/en/</w:t>
        </w:r>
      </w:hyperlink>
    </w:p>
    <w:p w14:paraId="41D9FE09" w14:textId="19E7304E" w:rsidR="00637EBE" w:rsidRPr="00025DDE" w:rsidRDefault="00637EBE" w:rsidP="00D70FAB">
      <w:pPr>
        <w:pStyle w:val="ListParagraph"/>
        <w:numPr>
          <w:ilvl w:val="0"/>
          <w:numId w:val="5"/>
        </w:numPr>
        <w:rPr>
          <w:rFonts w:ascii="Arial" w:eastAsia="Arial" w:hAnsi="Arial" w:cs="Arial"/>
          <w:color w:val="000000"/>
          <w:sz w:val="22"/>
          <w:szCs w:val="22"/>
          <w:lang w:val="fr-FR"/>
        </w:rPr>
      </w:pPr>
      <w:r>
        <w:rPr>
          <w:rStyle w:val="citationweb"/>
          <w:rFonts w:ascii="Arial" w:eastAsia="Arial" w:hAnsi="Arial" w:cs="Arial"/>
          <w:color w:val="000000"/>
          <w:sz w:val="22"/>
          <w:lang w:val="fr-FR"/>
        </w:rPr>
        <w:t>Ce résumé d'études identifie les liens entre l'eau, l'assainissement et l'hygiène, et la santé maternelle, néonatale et infantile. Il résume les interventions dans le WASH pour la SRMNI, et leur impact.</w:t>
      </w:r>
    </w:p>
    <w:p w14:paraId="115A864B" w14:textId="77777777" w:rsidR="00556528" w:rsidRDefault="00556528" w:rsidP="004A5A5C">
      <w:pPr>
        <w:pStyle w:val="StyleFactsheetHeading11pt"/>
        <w:keepNext/>
        <w:keepLines/>
        <w:spacing w:before="0" w:after="0"/>
      </w:pPr>
    </w:p>
    <w:p w14:paraId="39155182" w14:textId="77777777" w:rsidR="00016BA8" w:rsidRPr="004A5A5C" w:rsidRDefault="00016BA8" w:rsidP="004A5A5C">
      <w:pPr>
        <w:pStyle w:val="StyleFactsheetHeading11pt"/>
        <w:keepNext/>
        <w:keepLines/>
        <w:spacing w:before="0"/>
        <w:rPr>
          <w:sz w:val="26"/>
          <w:szCs w:val="26"/>
          <w:lang w:val="fr-FR"/>
        </w:rPr>
      </w:pPr>
      <w:r>
        <w:rPr>
          <w:sz w:val="26"/>
          <w:lang w:val="fr-FR"/>
        </w:rPr>
        <w:t>Références</w:t>
      </w:r>
    </w:p>
    <w:p w14:paraId="62225D07" w14:textId="77777777" w:rsidR="00366851" w:rsidRPr="00366851" w:rsidRDefault="00366851" w:rsidP="00366851">
      <w:pPr>
        <w:autoSpaceDE w:val="0"/>
        <w:autoSpaceDN w:val="0"/>
        <w:adjustRightInd w:val="0"/>
        <w:ind w:right="-630"/>
        <w:rPr>
          <w:rFonts w:ascii="Arial" w:eastAsia="Arial" w:hAnsi="Arial" w:cs="Arial"/>
          <w:sz w:val="22"/>
          <w:szCs w:val="22"/>
          <w:lang w:val="fr-FR"/>
        </w:rPr>
      </w:pPr>
      <w:r>
        <w:rPr>
          <w:rFonts w:ascii="Arial" w:eastAsia="Arial" w:hAnsi="Arial" w:cs="Arial"/>
          <w:sz w:val="22"/>
          <w:lang w:val="fr-FR"/>
        </w:rPr>
        <w:t xml:space="preserve">Heymann, D.L. (Ed.) (2008). </w:t>
      </w:r>
      <w:r w:rsidRPr="00366851">
        <w:rPr>
          <w:rFonts w:ascii="Arial" w:eastAsia="Arial" w:hAnsi="Arial" w:cs="Arial"/>
          <w:i/>
          <w:sz w:val="22"/>
          <w:szCs w:val="22"/>
          <w:lang w:val="fr-FR"/>
        </w:rPr>
        <w:t xml:space="preserve">Control of Communicable Diseases Manual </w:t>
      </w:r>
      <w:r>
        <w:rPr>
          <w:rFonts w:ascii="Arial" w:eastAsia="Arial" w:hAnsi="Arial" w:cs="Arial"/>
          <w:sz w:val="22"/>
          <w:lang w:val="fr-FR"/>
        </w:rPr>
        <w:t>(19</w:t>
      </w:r>
      <w:r w:rsidRPr="00366851">
        <w:rPr>
          <w:rFonts w:ascii="Arial" w:eastAsia="Arial" w:hAnsi="Arial" w:cs="Arial"/>
          <w:sz w:val="22"/>
          <w:szCs w:val="22"/>
          <w:vertAlign w:val="superscript"/>
          <w:lang w:val="fr-FR"/>
        </w:rPr>
        <w:t>ème</w:t>
      </w:r>
      <w:r>
        <w:rPr>
          <w:rFonts w:ascii="Arial" w:eastAsia="Arial" w:hAnsi="Arial" w:cs="Arial"/>
          <w:sz w:val="22"/>
          <w:lang w:val="fr-FR"/>
        </w:rPr>
        <w:t xml:space="preserve"> édition). Washington, DC: American Public Health Association.</w:t>
      </w:r>
    </w:p>
    <w:p w14:paraId="292BD2A3" w14:textId="77777777" w:rsidR="00366851" w:rsidRDefault="00366851" w:rsidP="004A5A5C">
      <w:pPr>
        <w:rPr>
          <w:rFonts w:ascii="Arial" w:eastAsia="Arial" w:hAnsi="Arial" w:cs="Arial"/>
          <w:sz w:val="22"/>
          <w:szCs w:val="22"/>
          <w:lang w:val="fr-FR"/>
        </w:rPr>
      </w:pPr>
    </w:p>
    <w:p w14:paraId="0050893A" w14:textId="77777777" w:rsidR="00936D11" w:rsidRPr="00936D11" w:rsidRDefault="00936D11" w:rsidP="004A5A5C">
      <w:pPr>
        <w:rPr>
          <w:rFonts w:ascii="Arial" w:eastAsia="Arial" w:hAnsi="Arial" w:cs="Arial"/>
          <w:sz w:val="22"/>
          <w:szCs w:val="22"/>
          <w:lang w:val="fr-FR"/>
        </w:rPr>
      </w:pPr>
      <w:r>
        <w:rPr>
          <w:rFonts w:ascii="Arial" w:eastAsia="Arial" w:hAnsi="Arial" w:cs="Arial"/>
          <w:sz w:val="22"/>
          <w:lang w:val="fr-FR"/>
        </w:rPr>
        <w:t xml:space="preserve">Humphrey J. H. (2009). Child undernutrition, tropical enteropathy, toilets, and handwashing. </w:t>
      </w:r>
      <w:r w:rsidRPr="00936D11">
        <w:rPr>
          <w:rFonts w:ascii="Arial" w:eastAsia="Arial" w:hAnsi="Arial" w:cs="Arial"/>
          <w:i/>
          <w:sz w:val="22"/>
          <w:szCs w:val="22"/>
          <w:lang w:val="fr-FR"/>
        </w:rPr>
        <w:t>The Lancet</w:t>
      </w:r>
      <w:r>
        <w:rPr>
          <w:rFonts w:ascii="Arial" w:eastAsia="Arial" w:hAnsi="Arial" w:cs="Arial"/>
          <w:sz w:val="22"/>
          <w:lang w:val="fr-FR"/>
        </w:rPr>
        <w:t xml:space="preserve"> 374: 1032-35 doi: 10.1016/S0140-6736(09)60950-8</w:t>
      </w:r>
    </w:p>
    <w:p w14:paraId="2A222774" w14:textId="77777777" w:rsidR="00556528" w:rsidRDefault="00556528" w:rsidP="004A5A5C">
      <w:pPr>
        <w:rPr>
          <w:rFonts w:ascii="Arial" w:eastAsia="Arial" w:hAnsi="Arial" w:cs="Arial"/>
          <w:sz w:val="22"/>
          <w:szCs w:val="22"/>
          <w:lang w:val="fr-FR"/>
        </w:rPr>
      </w:pPr>
    </w:p>
    <w:p w14:paraId="65C54BE6" w14:textId="77777777" w:rsidR="00936D11" w:rsidRPr="00936D11" w:rsidRDefault="00936D11" w:rsidP="004A5A5C">
      <w:pPr>
        <w:rPr>
          <w:rFonts w:ascii="Arial" w:eastAsia="Arial" w:hAnsi="Arial" w:cs="Arial"/>
          <w:sz w:val="22"/>
          <w:szCs w:val="22"/>
          <w:lang w:val="fr-FR"/>
        </w:rPr>
      </w:pPr>
      <w:r>
        <w:rPr>
          <w:rFonts w:ascii="Arial" w:eastAsia="Arial" w:hAnsi="Arial" w:cs="Arial"/>
          <w:sz w:val="22"/>
          <w:lang w:val="fr-FR"/>
        </w:rPr>
        <w:t xml:space="preserve">Kotloff, K.L., Nataro, J.P., Blackwelder, W.C., Nasrin, D., Farag, T.H., Panchalingam, S., etc. Levine, M.M. (2013). Burden and aetiology of diarrhoeal disease in infants and young children in developing countries (the Global Enteric Multicenter Study, GEMS): a prospective, case-control study. </w:t>
      </w:r>
      <w:r w:rsidRPr="00936D11">
        <w:rPr>
          <w:rFonts w:ascii="Arial" w:eastAsia="Arial" w:hAnsi="Arial" w:cs="Arial"/>
          <w:i/>
          <w:sz w:val="22"/>
          <w:szCs w:val="22"/>
          <w:lang w:val="fr-FR"/>
        </w:rPr>
        <w:t xml:space="preserve">The Lancet, </w:t>
      </w:r>
      <w:r>
        <w:rPr>
          <w:rFonts w:ascii="Arial" w:eastAsia="Arial" w:hAnsi="Arial" w:cs="Arial"/>
          <w:sz w:val="22"/>
          <w:lang w:val="fr-FR"/>
        </w:rPr>
        <w:t>382(9888), 209-22. doi:10.1016/S0140-6736(13)60844-2</w:t>
      </w:r>
    </w:p>
    <w:p w14:paraId="7B505704" w14:textId="77777777" w:rsidR="00556528" w:rsidRDefault="00556528" w:rsidP="004A5A5C">
      <w:pPr>
        <w:rPr>
          <w:rFonts w:ascii="Arial" w:eastAsia="Arial" w:hAnsi="Arial" w:cs="Arial"/>
          <w:sz w:val="22"/>
          <w:szCs w:val="22"/>
          <w:lang w:val="fr-FR"/>
        </w:rPr>
      </w:pPr>
    </w:p>
    <w:p w14:paraId="5559BBDE" w14:textId="369EE8D7" w:rsidR="00936D11" w:rsidRPr="00936D11" w:rsidRDefault="00936D11" w:rsidP="004A5A5C">
      <w:pPr>
        <w:rPr>
          <w:rFonts w:ascii="Arial" w:eastAsia="Arial" w:hAnsi="Arial" w:cs="Arial"/>
          <w:sz w:val="22"/>
          <w:szCs w:val="22"/>
          <w:lang w:val="fr-FR"/>
        </w:rPr>
      </w:pPr>
      <w:r>
        <w:rPr>
          <w:rFonts w:ascii="Arial" w:eastAsia="Arial" w:hAnsi="Arial" w:cs="Arial"/>
          <w:sz w:val="22"/>
          <w:lang w:val="fr-FR"/>
        </w:rPr>
        <w:t>Liu, L., Johnson, H.L., Cousens, S., Perin, J., Scott, S., Lawn, J.E., . . .Black, R.E., (2012). Global, regional, and national causes of child mortality: an updated systematic analysis for 2010 with time trends since 2000.</w:t>
      </w:r>
      <w:r w:rsidRPr="00936D11">
        <w:rPr>
          <w:rFonts w:ascii="Arial" w:eastAsia="Arial" w:hAnsi="Arial" w:cs="Arial"/>
          <w:i/>
          <w:sz w:val="22"/>
          <w:szCs w:val="22"/>
          <w:lang w:val="fr-FR"/>
        </w:rPr>
        <w:t xml:space="preserve"> The Lancet</w:t>
      </w:r>
      <w:r>
        <w:rPr>
          <w:rFonts w:ascii="Arial" w:eastAsia="Arial" w:hAnsi="Arial" w:cs="Arial"/>
          <w:sz w:val="22"/>
          <w:lang w:val="fr-FR"/>
        </w:rPr>
        <w:t>, 379: 2151–61 doi:</w:t>
      </w:r>
      <w:hyperlink r:id="rId13" w:history="1">
        <w:r>
          <w:rPr>
            <w:rStyle w:val="Hyperlink"/>
            <w:rFonts w:ascii="Arial" w:eastAsia="Arial" w:hAnsi="Arial" w:cs="Arial"/>
            <w:color w:val="auto"/>
            <w:lang w:val="fr-FR"/>
          </w:rPr>
          <w:t>10.1016/S0140-6736(12)60560-1</w:t>
        </w:r>
      </w:hyperlink>
    </w:p>
    <w:p w14:paraId="54273867" w14:textId="77777777" w:rsidR="00556528" w:rsidRDefault="00556528" w:rsidP="004A5A5C">
      <w:pPr>
        <w:rPr>
          <w:rFonts w:ascii="Arial" w:eastAsia="Arial" w:hAnsi="Arial" w:cs="Arial"/>
          <w:sz w:val="22"/>
          <w:szCs w:val="22"/>
          <w:lang w:val="fr-FR"/>
        </w:rPr>
      </w:pPr>
    </w:p>
    <w:p w14:paraId="5E6202A9" w14:textId="1CF24B54" w:rsidR="00A365D5" w:rsidRDefault="000C43BE" w:rsidP="004A5A5C">
      <w:pPr>
        <w:rPr>
          <w:rFonts w:ascii="Arial" w:eastAsia="Arial" w:hAnsi="Arial" w:cs="Arial"/>
          <w:bCs/>
          <w:sz w:val="22"/>
          <w:szCs w:val="22"/>
          <w:lang w:val="fr-FR"/>
        </w:rPr>
      </w:pPr>
      <w:r>
        <w:rPr>
          <w:rFonts w:ascii="Arial" w:eastAsia="Arial" w:hAnsi="Arial" w:cs="Arial"/>
          <w:sz w:val="22"/>
          <w:lang w:val="fr-FR"/>
        </w:rPr>
        <w:t xml:space="preserve">The Partnership for Maternal, Newborn, &amp; Child Health (PMNCH). (2014). Résumé des connaissances du PMNCH n°30 Water, sanitation and hygiene - the impact on RMNCH. Disponible sur : </w:t>
      </w:r>
      <w:hyperlink r:id="rId14" w:history="1">
        <w:r>
          <w:rPr>
            <w:rStyle w:val="Hyperlink"/>
            <w:rFonts w:ascii="Arial" w:eastAsia="Arial" w:hAnsi="Arial" w:cs="Arial"/>
            <w:color w:val="auto"/>
            <w:lang w:val="fr-FR"/>
          </w:rPr>
          <w:t>www.who.int/pmnch/knowledge/publications/summaries/ks30/en/</w:t>
        </w:r>
      </w:hyperlink>
      <w:r>
        <w:rPr>
          <w:rFonts w:ascii="Arial" w:eastAsia="Arial" w:hAnsi="Arial" w:cs="Arial"/>
          <w:sz w:val="22"/>
          <w:lang w:val="fr-FR"/>
        </w:rPr>
        <w:t xml:space="preserve"> </w:t>
      </w:r>
    </w:p>
    <w:p w14:paraId="710CE848" w14:textId="77777777" w:rsidR="00A365D5" w:rsidRPr="00A365D5" w:rsidRDefault="00A365D5" w:rsidP="004A5A5C">
      <w:pPr>
        <w:rPr>
          <w:rFonts w:ascii="Arial" w:eastAsia="Arial" w:hAnsi="Arial" w:cs="Arial"/>
          <w:sz w:val="22"/>
          <w:szCs w:val="22"/>
          <w:lang w:val="fr-FR"/>
        </w:rPr>
      </w:pPr>
    </w:p>
    <w:p w14:paraId="3B9ABCFC" w14:textId="77777777" w:rsidR="000C43BE" w:rsidRPr="004A5A5C" w:rsidRDefault="000C43BE" w:rsidP="004A5A5C">
      <w:pPr>
        <w:rPr>
          <w:rFonts w:ascii="Arial" w:eastAsia="Arial" w:hAnsi="Arial" w:cs="Arial"/>
          <w:sz w:val="22"/>
          <w:szCs w:val="22"/>
          <w:lang w:val="fr-FR"/>
        </w:rPr>
      </w:pPr>
      <w:r>
        <w:rPr>
          <w:rFonts w:ascii="Arial" w:eastAsia="Arial" w:hAnsi="Arial" w:cs="Arial"/>
          <w:sz w:val="22"/>
          <w:lang w:val="fr-FR"/>
        </w:rPr>
        <w:t xml:space="preserve">Prüss-Üstün, A., Bos, R., Gore, F. et J. Bartram (2008). Safer Water, Better Health: Costs, Benefits and Sustainability of Interventions to Protect and Promote Health. </w:t>
      </w:r>
      <w:r w:rsidRPr="004A5A5C">
        <w:rPr>
          <w:rFonts w:ascii="Arial" w:eastAsia="Arial" w:hAnsi="Arial" w:cs="Arial"/>
          <w:bCs/>
          <w:i/>
          <w:sz w:val="22"/>
          <w:szCs w:val="22"/>
          <w:lang w:val="fr-FR"/>
        </w:rPr>
        <w:t xml:space="preserve">Organisation Mondiale de la Santé </w:t>
      </w:r>
    </w:p>
    <w:p w14:paraId="49AF53D2" w14:textId="52FC0383" w:rsidR="000C43BE" w:rsidRPr="000C43BE" w:rsidRDefault="000C43BE" w:rsidP="004A5A5C">
      <w:pPr>
        <w:pStyle w:val="FactsheetReference"/>
        <w:rPr>
          <w:sz w:val="22"/>
          <w:szCs w:val="22"/>
          <w:lang w:val="fr-FR"/>
        </w:rPr>
      </w:pPr>
      <w:r>
        <w:rPr>
          <w:sz w:val="22"/>
          <w:lang w:val="fr-FR"/>
        </w:rPr>
        <w:lastRenderedPageBreak/>
        <w:t xml:space="preserve">Prüss-Ustün, A., Bartram, J., Clasen, T., Colford, J.M., Cumming, O., Curtis, V., . . .Cairncross, S. (2014). (Cairncross, 2014) Burden of disease from inadequate water, sanitation and hygiene in low- and middle-income settings: a retrospective analysis of data from 145 countries. </w:t>
      </w:r>
      <w:r w:rsidRPr="000C43BE">
        <w:rPr>
          <w:i/>
          <w:iCs/>
          <w:sz w:val="22"/>
          <w:szCs w:val="22"/>
          <w:lang w:val="fr-FR"/>
        </w:rPr>
        <w:t>Tropical Medicine and International Health</w:t>
      </w:r>
      <w:r>
        <w:rPr>
          <w:sz w:val="22"/>
          <w:lang w:val="fr-FR"/>
        </w:rPr>
        <w:t xml:space="preserve">. 19(8), 894-905 doi: </w:t>
      </w:r>
      <w:hyperlink r:id="rId15" w:history="1">
        <w:r>
          <w:rPr>
            <w:rStyle w:val="Hyperlink"/>
            <w:color w:val="auto"/>
            <w:lang w:val="fr-FR"/>
          </w:rPr>
          <w:t>10.1111/tmi.12329</w:t>
        </w:r>
      </w:hyperlink>
    </w:p>
    <w:p w14:paraId="15D236E7" w14:textId="77777777" w:rsidR="00556528" w:rsidRPr="00556528" w:rsidRDefault="00556528" w:rsidP="004A5A5C">
      <w:pPr>
        <w:rPr>
          <w:rFonts w:ascii="Arial" w:eastAsia="Arial" w:hAnsi="Arial" w:cs="Arial"/>
          <w:color w:val="000000"/>
          <w:sz w:val="22"/>
          <w:szCs w:val="22"/>
          <w:lang w:val="fr-FR"/>
        </w:rPr>
      </w:pPr>
    </w:p>
    <w:p w14:paraId="53F4B07A" w14:textId="1B9F20B2" w:rsidR="00366851" w:rsidRPr="004A5A5C" w:rsidRDefault="00366851" w:rsidP="00366851">
      <w:pPr>
        <w:rPr>
          <w:rFonts w:ascii="Arial" w:eastAsia="Arial" w:hAnsi="Arial" w:cs="Arial"/>
          <w:sz w:val="22"/>
          <w:lang w:val="fr-FR"/>
        </w:rPr>
      </w:pPr>
      <w:r>
        <w:rPr>
          <w:rFonts w:ascii="Arial" w:eastAsia="Arial" w:hAnsi="Arial" w:cs="Arial"/>
          <w:sz w:val="22"/>
          <w:lang w:val="fr-FR"/>
        </w:rPr>
        <w:t xml:space="preserve">UNICEF (2004). Low Birthweight: Country, Regional and Global Estimates. </w:t>
      </w:r>
      <w:r w:rsidRPr="00366851">
        <w:rPr>
          <w:rFonts w:ascii="Arial" w:eastAsia="Arial" w:hAnsi="Arial" w:cs="Arial"/>
          <w:i/>
          <w:sz w:val="22"/>
          <w:lang w:val="fr-FR"/>
        </w:rPr>
        <w:t>UNICEF/OMS.</w:t>
      </w:r>
      <w:r>
        <w:rPr>
          <w:rFonts w:ascii="Arial" w:eastAsia="Arial" w:hAnsi="Arial" w:cs="Arial"/>
          <w:sz w:val="22"/>
          <w:lang w:val="fr-FR"/>
        </w:rPr>
        <w:t xml:space="preserve"> Disponible sur : </w:t>
      </w:r>
      <w:hyperlink r:id="rId16" w:history="1">
        <w:r>
          <w:rPr>
            <w:rStyle w:val="Hyperlink"/>
            <w:rFonts w:ascii="Arial" w:eastAsia="Arial" w:hAnsi="Arial" w:cs="Arial"/>
            <w:color w:val="auto"/>
            <w:lang w:val="fr-FR"/>
          </w:rPr>
          <w:t>www.unicef.org/publications/files/low_birthweight_from_EY.pdf</w:t>
        </w:r>
      </w:hyperlink>
      <w:r>
        <w:rPr>
          <w:rFonts w:ascii="Arial" w:eastAsia="Arial" w:hAnsi="Arial" w:cs="Arial"/>
          <w:sz w:val="22"/>
          <w:lang w:val="fr-FR"/>
        </w:rPr>
        <w:t xml:space="preserve"> </w:t>
      </w:r>
    </w:p>
    <w:p w14:paraId="0BA3C809" w14:textId="77777777" w:rsidR="001A1DD4" w:rsidRDefault="001A1DD4" w:rsidP="00366851">
      <w:pPr>
        <w:rPr>
          <w:rFonts w:ascii="Arial" w:eastAsia="Arial" w:hAnsi="Arial" w:cs="Arial"/>
          <w:sz w:val="22"/>
          <w:lang w:val="fr-FR"/>
        </w:rPr>
      </w:pPr>
    </w:p>
    <w:p w14:paraId="5BD9D6AC" w14:textId="2E7C26DA" w:rsidR="0042296A" w:rsidRDefault="0042296A" w:rsidP="00366851">
      <w:pPr>
        <w:rPr>
          <w:rFonts w:ascii="Arial" w:eastAsia="Arial" w:hAnsi="Arial" w:cs="Arial"/>
          <w:sz w:val="22"/>
          <w:lang w:val="fr-FR"/>
        </w:rPr>
      </w:pPr>
      <w:r>
        <w:rPr>
          <w:rFonts w:ascii="Arial" w:eastAsia="Arial" w:hAnsi="Arial" w:cs="Arial"/>
          <w:sz w:val="22"/>
          <w:lang w:val="fr-FR"/>
        </w:rPr>
        <w:t>Organisation Mondiale de la Santé (2013). Fiche technique 330 : maladies diarrhéiques. Organisation Mondiale de la Santé, Genève, Suisse. Disponible sur : www.who.int/mediacentre/factsheets/fs330/en/</w:t>
      </w:r>
      <w:hyperlink r:id="rId17" w:history="1"/>
    </w:p>
    <w:p w14:paraId="4F0D6D9C" w14:textId="77777777" w:rsidR="0042296A" w:rsidRPr="00A365D5" w:rsidRDefault="0042296A" w:rsidP="00366851">
      <w:pPr>
        <w:rPr>
          <w:rFonts w:ascii="Arial" w:eastAsia="Arial" w:hAnsi="Arial" w:cs="Arial"/>
          <w:sz w:val="22"/>
          <w:lang w:val="fr-FR"/>
        </w:rPr>
      </w:pPr>
    </w:p>
    <w:p w14:paraId="253DB4AC" w14:textId="4AC6E9F9" w:rsidR="001A1DD4" w:rsidRDefault="001A1DD4" w:rsidP="00366851">
      <w:pPr>
        <w:rPr>
          <w:rStyle w:val="Hyperlink"/>
          <w:rFonts w:ascii="Arial" w:eastAsia="Arial" w:hAnsi="Arial" w:cs="Arial"/>
          <w:color w:val="auto"/>
          <w:szCs w:val="24"/>
          <w:lang w:val="fr-FR"/>
        </w:rPr>
      </w:pPr>
      <w:r>
        <w:rPr>
          <w:rFonts w:ascii="Arial" w:eastAsia="Arial" w:hAnsi="Arial" w:cs="Arial"/>
          <w:sz w:val="22"/>
          <w:lang w:val="fr-FR"/>
        </w:rPr>
        <w:t xml:space="preserve">Organisation Mondiale de la Santé (2014). Fiche technique 363 : naissance avant le terme. Organisation Mondiale de la Santé, Genève, Suisse. Disponible sur : </w:t>
      </w:r>
      <w:hyperlink r:id="rId18" w:history="1">
        <w:r>
          <w:rPr>
            <w:rStyle w:val="Hyperlink"/>
            <w:rFonts w:ascii="Arial" w:eastAsia="Arial" w:hAnsi="Arial" w:cs="Arial"/>
            <w:color w:val="auto"/>
            <w:lang w:val="fr-FR"/>
          </w:rPr>
          <w:t>www.who.int/mediacentre/factsheets/fs363/en/</w:t>
        </w:r>
      </w:hyperlink>
    </w:p>
    <w:p w14:paraId="606C6E63" w14:textId="77777777" w:rsidR="004B4FA9" w:rsidRDefault="004B4FA9" w:rsidP="00366851">
      <w:pPr>
        <w:rPr>
          <w:rStyle w:val="Hyperlink"/>
          <w:rFonts w:ascii="Arial" w:eastAsia="Arial" w:hAnsi="Arial" w:cs="Arial"/>
          <w:color w:val="auto"/>
          <w:szCs w:val="24"/>
          <w:lang w:val="fr-FR"/>
        </w:rPr>
      </w:pPr>
    </w:p>
    <w:p w14:paraId="3AD3C2E0" w14:textId="4C0AE33B" w:rsidR="004B4FA9" w:rsidRPr="00770D59" w:rsidRDefault="004B4FA9" w:rsidP="00366851">
      <w:pPr>
        <w:rPr>
          <w:rFonts w:ascii="Arial" w:eastAsia="Arial" w:hAnsi="Arial" w:cs="Arial"/>
          <w:sz w:val="22"/>
          <w:lang w:val="fr-FR"/>
        </w:rPr>
      </w:pPr>
      <w:r>
        <w:rPr>
          <w:rStyle w:val="Hyperlink"/>
          <w:rFonts w:ascii="Arial" w:eastAsia="Arial" w:hAnsi="Arial" w:cs="Arial"/>
          <w:color w:val="auto"/>
          <w:u w:val="none"/>
          <w:lang w:val="fr-FR"/>
        </w:rPr>
        <w:t xml:space="preserve">Organisation Mondiale de la Santé (2014). Fiche technique 280 : Hépatite E. </w:t>
      </w:r>
      <w:r>
        <w:rPr>
          <w:rFonts w:ascii="Arial" w:eastAsia="Arial" w:hAnsi="Arial" w:cs="Arial"/>
          <w:sz w:val="22"/>
          <w:lang w:val="fr-FR"/>
        </w:rPr>
        <w:t xml:space="preserve">Organisation Mondiale de la Santé, Genève, Suisse. Disponible sur : </w:t>
      </w:r>
      <w:hyperlink r:id="rId19" w:history="1">
        <w:r>
          <w:rPr>
            <w:rStyle w:val="Hyperlink"/>
            <w:rFonts w:ascii="Arial" w:eastAsia="Arial" w:hAnsi="Arial" w:cs="Arial"/>
            <w:color w:val="auto"/>
            <w:lang w:val="fr-FR"/>
          </w:rPr>
          <w:t>www.who.int/mediacentre/factsheets/fs280/en/</w:t>
        </w:r>
      </w:hyperlink>
    </w:p>
    <w:p w14:paraId="3AB653BE" w14:textId="77777777" w:rsidR="001A1DD4" w:rsidRPr="00770D59" w:rsidRDefault="001A1DD4" w:rsidP="00366851">
      <w:pPr>
        <w:rPr>
          <w:rFonts w:ascii="Arial" w:eastAsia="Arial" w:hAnsi="Arial" w:cs="Arial"/>
          <w:b/>
          <w:sz w:val="22"/>
          <w:szCs w:val="22"/>
          <w:lang w:val="fr-FR"/>
        </w:rPr>
      </w:pPr>
    </w:p>
    <w:p w14:paraId="594B3174" w14:textId="77777777" w:rsidR="00A365D5" w:rsidRDefault="00A365D5" w:rsidP="00366851">
      <w:pPr>
        <w:rPr>
          <w:rFonts w:ascii="Arial" w:eastAsia="Arial" w:hAnsi="Arial" w:cs="Arial"/>
          <w:b/>
          <w:sz w:val="22"/>
          <w:szCs w:val="22"/>
          <w:lang w:val="fr-FR"/>
        </w:rPr>
      </w:pPr>
    </w:p>
    <w:p w14:paraId="34B5029D" w14:textId="77777777" w:rsidR="00A365D5" w:rsidRDefault="00A365D5" w:rsidP="00366851">
      <w:pPr>
        <w:rPr>
          <w:rFonts w:ascii="Arial" w:eastAsia="Arial" w:hAnsi="Arial" w:cs="Arial"/>
          <w:b/>
          <w:sz w:val="22"/>
          <w:szCs w:val="22"/>
          <w:lang w:val="fr-FR"/>
        </w:rPr>
      </w:pPr>
    </w:p>
    <w:p w14:paraId="1F3201DA" w14:textId="77777777" w:rsidR="00A365D5" w:rsidRDefault="00A365D5" w:rsidP="00366851">
      <w:pPr>
        <w:rPr>
          <w:rFonts w:ascii="Arial" w:eastAsia="Arial" w:hAnsi="Arial" w:cs="Arial"/>
          <w:b/>
          <w:sz w:val="22"/>
          <w:szCs w:val="22"/>
          <w:lang w:val="fr-FR"/>
        </w:rPr>
      </w:pPr>
    </w:p>
    <w:p w14:paraId="037FB471" w14:textId="77777777" w:rsidR="00AD1A01" w:rsidRDefault="00AD1A01" w:rsidP="00366851">
      <w:pPr>
        <w:rPr>
          <w:rFonts w:ascii="Arial" w:eastAsia="Arial" w:hAnsi="Arial" w:cs="Arial"/>
          <w:b/>
          <w:sz w:val="22"/>
          <w:szCs w:val="22"/>
          <w:lang w:val="fr-FR"/>
        </w:rPr>
      </w:pPr>
    </w:p>
    <w:p w14:paraId="2457B041" w14:textId="77777777" w:rsidR="00AD1A01" w:rsidRDefault="00AD1A01" w:rsidP="00366851">
      <w:pPr>
        <w:rPr>
          <w:rFonts w:ascii="Arial" w:eastAsia="Arial" w:hAnsi="Arial" w:cs="Arial"/>
          <w:b/>
          <w:sz w:val="22"/>
          <w:szCs w:val="22"/>
          <w:lang w:val="fr-FR"/>
        </w:rPr>
      </w:pPr>
    </w:p>
    <w:p w14:paraId="53118009" w14:textId="77777777" w:rsidR="00AD1A01" w:rsidRDefault="00AD1A01" w:rsidP="00366851">
      <w:pPr>
        <w:rPr>
          <w:rFonts w:ascii="Arial" w:eastAsia="Arial" w:hAnsi="Arial" w:cs="Arial"/>
          <w:b/>
          <w:sz w:val="22"/>
          <w:szCs w:val="22"/>
          <w:lang w:val="fr-FR"/>
        </w:rPr>
      </w:pPr>
    </w:p>
    <w:p w14:paraId="5C7DC03E" w14:textId="77777777" w:rsidR="00A365D5" w:rsidRPr="00A365D5" w:rsidRDefault="00A365D5" w:rsidP="00366851">
      <w:pPr>
        <w:rPr>
          <w:rFonts w:ascii="Arial" w:eastAsia="Arial" w:hAnsi="Arial" w:cs="Arial"/>
          <w:b/>
          <w:sz w:val="22"/>
          <w:szCs w:val="22"/>
          <w:lang w:val="fr-FR"/>
        </w:rPr>
      </w:pPr>
    </w:p>
    <w:p w14:paraId="1FB861CE" w14:textId="65EAE15A" w:rsidR="00556528" w:rsidRPr="004A5A5C" w:rsidRDefault="00556528" w:rsidP="004A5A5C">
      <w:pPr>
        <w:rPr>
          <w:rFonts w:ascii="Arial" w:eastAsia="Arial" w:hAnsi="Arial" w:cs="Arial"/>
          <w:sz w:val="22"/>
          <w:szCs w:val="22"/>
          <w:lang w:val="fr-FR"/>
        </w:rPr>
      </w:pPr>
    </w:p>
    <w:p w14:paraId="7F8CDD78" w14:textId="77777777" w:rsidR="00556528" w:rsidRPr="00556528" w:rsidRDefault="00556528" w:rsidP="00A365D5">
      <w:pPr>
        <w:pBdr>
          <w:top w:val="single" w:sz="12" w:space="1" w:color="auto"/>
        </w:pBdr>
        <w:tabs>
          <w:tab w:val="left" w:pos="2160"/>
        </w:tabs>
        <w:rPr>
          <w:rFonts w:ascii="Arial" w:eastAsia="Arial" w:hAnsi="Arial" w:cs="Arial"/>
          <w:sz w:val="18"/>
          <w:szCs w:val="18"/>
          <w:lang w:val="fr-FR"/>
        </w:rPr>
      </w:pPr>
      <w:r>
        <w:rPr>
          <w:rFonts w:ascii="Arial" w:eastAsia="Arial" w:hAnsi="Arial" w:cs="Arial"/>
          <w:sz w:val="18"/>
          <w:lang w:val="fr-FR"/>
        </w:rPr>
        <w:t>CAWST (Centre for Affordable Water and Sanitation Technology)</w:t>
      </w:r>
    </w:p>
    <w:p w14:paraId="5A19494A" w14:textId="77777777" w:rsidR="00556528" w:rsidRPr="00556528" w:rsidRDefault="00556528" w:rsidP="00E31C8B">
      <w:pPr>
        <w:tabs>
          <w:tab w:val="left" w:pos="2160"/>
        </w:tabs>
        <w:rPr>
          <w:rFonts w:ascii="Arial" w:eastAsia="Arial" w:hAnsi="Arial" w:cs="Arial"/>
          <w:sz w:val="18"/>
          <w:szCs w:val="18"/>
          <w:lang w:val="fr-FR"/>
        </w:rPr>
      </w:pPr>
      <w:r>
        <w:rPr>
          <w:rFonts w:ascii="Arial" w:eastAsia="Arial" w:hAnsi="Arial" w:cs="Arial"/>
          <w:sz w:val="18"/>
          <w:lang w:val="fr-FR"/>
        </w:rPr>
        <w:t>Calgary, Alberta, Canada</w:t>
      </w:r>
    </w:p>
    <w:p w14:paraId="171D9019" w14:textId="5182795F" w:rsidR="00556528" w:rsidRPr="00556528" w:rsidRDefault="00556528" w:rsidP="004A5A5C">
      <w:pPr>
        <w:tabs>
          <w:tab w:val="left" w:pos="2160"/>
        </w:tabs>
        <w:rPr>
          <w:rFonts w:ascii="Arial" w:eastAsia="Arial" w:hAnsi="Arial" w:cs="Arial"/>
          <w:sz w:val="18"/>
          <w:szCs w:val="18"/>
          <w:lang w:val="fr-FR"/>
        </w:rPr>
      </w:pPr>
      <w:r>
        <w:rPr>
          <w:rFonts w:ascii="Arial" w:eastAsia="Arial" w:hAnsi="Arial" w:cs="Arial"/>
          <w:sz w:val="18"/>
          <w:lang w:val="fr-FR"/>
        </w:rPr>
        <w:t xml:space="preserve">Site internet : </w:t>
      </w:r>
      <w:hyperlink r:id="rId20" w:history="1">
        <w:r>
          <w:rPr>
            <w:rFonts w:ascii="Arial" w:eastAsia="Arial" w:hAnsi="Arial" w:cs="Arial"/>
            <w:sz w:val="18"/>
            <w:u w:val="single"/>
            <w:lang w:val="fr-FR"/>
          </w:rPr>
          <w:t>www.cawst.org</w:t>
        </w:r>
      </w:hyperlink>
      <w:r>
        <w:rPr>
          <w:rFonts w:ascii="Arial" w:eastAsia="Arial" w:hAnsi="Arial" w:cs="Arial"/>
          <w:sz w:val="18"/>
          <w:lang w:val="fr-FR"/>
        </w:rPr>
        <w:t xml:space="preserve"> E-mail : </w:t>
      </w:r>
      <w:hyperlink r:id="rId21" w:history="1">
        <w:r>
          <w:rPr>
            <w:rFonts w:ascii="Arial" w:eastAsia="Arial" w:hAnsi="Arial" w:cs="Arial"/>
            <w:sz w:val="18"/>
            <w:u w:val="single"/>
            <w:lang w:val="fr-FR"/>
          </w:rPr>
          <w:t>resources@cawst.org</w:t>
        </w:r>
      </w:hyperlink>
    </w:p>
    <w:p w14:paraId="642DDE5B" w14:textId="77777777" w:rsidR="00556528" w:rsidRPr="00556528" w:rsidRDefault="00556528" w:rsidP="004A5A5C">
      <w:pPr>
        <w:tabs>
          <w:tab w:val="left" w:pos="2160"/>
        </w:tabs>
        <w:rPr>
          <w:rFonts w:ascii="Arial" w:eastAsia="Arial" w:hAnsi="Arial" w:cs="Arial"/>
          <w:i/>
          <w:iCs/>
          <w:sz w:val="18"/>
          <w:szCs w:val="18"/>
          <w:lang w:val="fr-FR"/>
        </w:rPr>
      </w:pPr>
      <w:r>
        <w:rPr>
          <w:rFonts w:ascii="Arial" w:eastAsia="Arial" w:hAnsi="Arial" w:cs="Arial"/>
          <w:i/>
          <w:sz w:val="18"/>
          <w:lang w:val="fr-FR"/>
        </w:rPr>
        <w:t>Le bien-être grâce à l'eau... L’autonomisation des gens dans le monde</w:t>
      </w:r>
    </w:p>
    <w:p w14:paraId="4EB829A4" w14:textId="77777777" w:rsidR="00556528" w:rsidRPr="00556528" w:rsidRDefault="00556528" w:rsidP="004A5A5C">
      <w:pPr>
        <w:pBdr>
          <w:bottom w:val="single" w:sz="12" w:space="1" w:color="auto"/>
        </w:pBdr>
        <w:tabs>
          <w:tab w:val="left" w:pos="2160"/>
        </w:tabs>
        <w:rPr>
          <w:rFonts w:ascii="Arial" w:eastAsia="Arial" w:hAnsi="Arial" w:cs="Arial"/>
          <w:sz w:val="18"/>
          <w:szCs w:val="18"/>
          <w:lang w:val="fr-FR"/>
        </w:rPr>
      </w:pPr>
      <w:r>
        <w:rPr>
          <w:rFonts w:ascii="Arial" w:eastAsia="Arial" w:hAnsi="Arial" w:cs="Arial"/>
          <w:sz w:val="18"/>
          <w:lang w:val="fr-FR"/>
        </w:rPr>
        <w:t>Dernière mise à jour : mars 2015</w:t>
      </w:r>
    </w:p>
    <w:p w14:paraId="0A225797" w14:textId="77777777" w:rsidR="00556528" w:rsidRPr="00556528" w:rsidRDefault="00556528" w:rsidP="004A5A5C">
      <w:pPr>
        <w:pBdr>
          <w:bottom w:val="single" w:sz="12" w:space="1" w:color="auto"/>
        </w:pBdr>
        <w:tabs>
          <w:tab w:val="left" w:pos="2160"/>
        </w:tabs>
        <w:rPr>
          <w:rFonts w:ascii="Arial" w:eastAsia="Arial" w:hAnsi="Arial" w:cs="Arial"/>
          <w:sz w:val="18"/>
          <w:szCs w:val="18"/>
          <w:lang w:val="fr-FR"/>
        </w:rPr>
      </w:pPr>
    </w:p>
    <w:p w14:paraId="6286FB9E" w14:textId="77777777" w:rsidR="00556528" w:rsidRPr="00556528" w:rsidRDefault="00556528" w:rsidP="004A5A5C">
      <w:pPr>
        <w:tabs>
          <w:tab w:val="left" w:pos="2160"/>
        </w:tabs>
        <w:rPr>
          <w:rFonts w:ascii="Arial" w:eastAsia="Arial" w:hAnsi="Arial" w:cs="Arial"/>
          <w:sz w:val="18"/>
          <w:szCs w:val="18"/>
          <w:lang w:val="fr-FR"/>
        </w:rPr>
      </w:pPr>
    </w:p>
    <w:p w14:paraId="6F6FCC57" w14:textId="77777777" w:rsidR="00556528" w:rsidRPr="00556528" w:rsidRDefault="00556528" w:rsidP="004A5A5C">
      <w:pPr>
        <w:tabs>
          <w:tab w:val="left" w:pos="2160"/>
        </w:tabs>
        <w:rPr>
          <w:rFonts w:ascii="Arial" w:eastAsia="Arial" w:hAnsi="Arial" w:cs="Arial"/>
          <w:sz w:val="18"/>
          <w:szCs w:val="22"/>
          <w:lang w:val="fr-FR"/>
        </w:rPr>
      </w:pPr>
      <w:r>
        <w:rPr>
          <w:rFonts w:ascii="Arial" w:eastAsia="Arial" w:hAnsi="Arial" w:cs="Arial"/>
          <w:sz w:val="18"/>
          <w:lang w:val="fr-FR"/>
        </w:rPr>
        <w:t>Document en libre accès. Vous pouvez :</w:t>
      </w:r>
    </w:p>
    <w:p w14:paraId="2EFF0DAF" w14:textId="77777777" w:rsidR="00556528" w:rsidRPr="00556528" w:rsidRDefault="00556528" w:rsidP="004A5A5C">
      <w:pPr>
        <w:tabs>
          <w:tab w:val="left" w:pos="1335"/>
        </w:tabs>
        <w:rPr>
          <w:rFonts w:ascii="Arial" w:eastAsia="Arial" w:hAnsi="Arial" w:cs="Arial"/>
          <w:sz w:val="18"/>
          <w:szCs w:val="22"/>
          <w:lang w:val="fr-FR"/>
        </w:rPr>
      </w:pPr>
      <w:r w:rsidRPr="00556528">
        <w:rPr>
          <w:rFonts w:ascii="Arial" w:eastAsia="Arial" w:hAnsi="Arial" w:cs="Arial"/>
          <w:sz w:val="18"/>
          <w:szCs w:val="22"/>
          <w:lang w:val="fr-FR"/>
        </w:rPr>
        <w:tab/>
      </w:r>
    </w:p>
    <w:p w14:paraId="09BCB198" w14:textId="77777777" w:rsidR="00556528" w:rsidRPr="00556528" w:rsidRDefault="00556528" w:rsidP="00D70FAB">
      <w:pPr>
        <w:numPr>
          <w:ilvl w:val="0"/>
          <w:numId w:val="11"/>
        </w:numPr>
        <w:ind w:left="2268" w:hanging="283"/>
        <w:rPr>
          <w:rFonts w:ascii="Arial" w:eastAsia="Arial" w:hAnsi="Arial" w:cs="Arial"/>
          <w:sz w:val="18"/>
          <w:szCs w:val="22"/>
          <w:lang w:val="fr-FR"/>
        </w:rPr>
      </w:pPr>
      <w:r w:rsidRPr="00556528">
        <w:rPr>
          <w:rFonts w:ascii="Arial" w:eastAsia="Arial" w:hAnsi="Arial" w:cs="Arial"/>
          <w:noProof/>
          <w:sz w:val="22"/>
          <w:lang w:val="en-CA" w:eastAsia="en-CA"/>
        </w:rPr>
        <w:drawing>
          <wp:anchor distT="0" distB="0" distL="114300" distR="114300" simplePos="0" relativeHeight="251667456" behindDoc="0" locked="0" layoutInCell="1" allowOverlap="1" wp14:anchorId="2095D5A2" wp14:editId="2F316778">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18"/>
          <w:lang w:val="fr-FR"/>
        </w:rPr>
        <w:t>Partager - copier, distribuer et transmettre ce document.</w:t>
      </w:r>
    </w:p>
    <w:p w14:paraId="26F5BE7B" w14:textId="77777777" w:rsidR="00556528" w:rsidRPr="00556528" w:rsidRDefault="00556528" w:rsidP="00D70FAB">
      <w:pPr>
        <w:numPr>
          <w:ilvl w:val="0"/>
          <w:numId w:val="11"/>
        </w:numPr>
        <w:ind w:left="2268" w:hanging="283"/>
        <w:rPr>
          <w:rFonts w:ascii="Arial" w:eastAsia="Arial" w:hAnsi="Arial" w:cs="Arial"/>
          <w:sz w:val="18"/>
          <w:szCs w:val="22"/>
          <w:lang w:val="fr-FR"/>
        </w:rPr>
      </w:pPr>
      <w:r>
        <w:rPr>
          <w:rFonts w:ascii="Arial" w:eastAsia="Arial" w:hAnsi="Arial" w:cs="Arial"/>
          <w:sz w:val="18"/>
          <w:lang w:val="fr-FR"/>
        </w:rPr>
        <w:t>Modifier - adapter ce document</w:t>
      </w:r>
    </w:p>
    <w:p w14:paraId="3C99393E" w14:textId="77777777" w:rsidR="00556528" w:rsidRPr="00556528" w:rsidRDefault="00556528" w:rsidP="004A5A5C">
      <w:pPr>
        <w:rPr>
          <w:rFonts w:ascii="Arial" w:eastAsia="Arial" w:hAnsi="Arial" w:cs="Arial"/>
          <w:sz w:val="18"/>
          <w:szCs w:val="22"/>
          <w:lang w:val="fr-FR"/>
        </w:rPr>
      </w:pPr>
    </w:p>
    <w:p w14:paraId="5D35E114" w14:textId="77777777" w:rsidR="00556528" w:rsidRPr="00556528" w:rsidRDefault="00556528" w:rsidP="004A5A5C">
      <w:pPr>
        <w:ind w:left="1985"/>
        <w:rPr>
          <w:rFonts w:ascii="Arial" w:eastAsia="Arial" w:hAnsi="Arial" w:cs="Arial"/>
          <w:sz w:val="18"/>
          <w:szCs w:val="22"/>
          <w:lang w:val="fr-FR"/>
        </w:rPr>
      </w:pPr>
      <w:r w:rsidRPr="00556528">
        <w:rPr>
          <w:rFonts w:ascii="Arial" w:eastAsia="Arial" w:hAnsi="Arial" w:cs="Arial"/>
          <w:noProof/>
          <w:sz w:val="22"/>
          <w:lang w:val="en-CA" w:eastAsia="en-CA"/>
        </w:rPr>
        <w:drawing>
          <wp:anchor distT="0" distB="0" distL="114300" distR="114300" simplePos="0" relativeHeight="251664384" behindDoc="0" locked="0" layoutInCell="1" allowOverlap="1" wp14:anchorId="155B223D" wp14:editId="643D481D">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18"/>
          <w:lang w:val="fr-FR"/>
        </w:rPr>
        <w:t>À condition :</w:t>
      </w:r>
    </w:p>
    <w:p w14:paraId="7708A922" w14:textId="4B41FA78" w:rsidR="00556528" w:rsidRPr="00556528" w:rsidRDefault="00556528" w:rsidP="00D70FAB">
      <w:pPr>
        <w:numPr>
          <w:ilvl w:val="0"/>
          <w:numId w:val="10"/>
        </w:numPr>
        <w:ind w:left="2268" w:hanging="283"/>
        <w:rPr>
          <w:rFonts w:ascii="Arial" w:eastAsia="Arial" w:hAnsi="Arial" w:cs="Arial"/>
          <w:sz w:val="18"/>
          <w:szCs w:val="22"/>
          <w:lang w:val="fr-FR"/>
        </w:rPr>
      </w:pPr>
      <w:r>
        <w:rPr>
          <w:rFonts w:ascii="Arial" w:eastAsia="Arial" w:hAnsi="Arial" w:cs="Arial"/>
          <w:sz w:val="18"/>
          <w:lang w:val="fr-FR"/>
        </w:rPr>
        <w:t xml:space="preserve">d'en indiquer l'origine. </w:t>
      </w:r>
      <w:r w:rsidRPr="00556528">
        <w:rPr>
          <w:rFonts w:ascii="Arial" w:eastAsia="Arial" w:hAnsi="Arial" w:cs="Arial"/>
          <w:color w:val="000000"/>
          <w:sz w:val="18"/>
          <w:szCs w:val="22"/>
          <w:lang w:val="fr-FR"/>
        </w:rPr>
        <w:t>CAWST doit être cité comme l'auteur de ce document. Notre site Internet</w:t>
      </w:r>
      <w:r>
        <w:rPr>
          <w:rFonts w:ascii="Arial" w:eastAsia="Arial" w:hAnsi="Arial" w:cs="Arial"/>
          <w:sz w:val="18"/>
          <w:lang w:val="fr-FR"/>
        </w:rPr>
        <w:t xml:space="preserve"> : </w:t>
      </w:r>
      <w:hyperlink r:id="rId24" w:history="1">
        <w:r>
          <w:rPr>
            <w:rFonts w:ascii="Arial" w:eastAsia="Arial" w:hAnsi="Arial" w:cs="Arial"/>
            <w:sz w:val="18"/>
            <w:u w:val="single"/>
            <w:lang w:val="fr-FR"/>
          </w:rPr>
          <w:t>www.cawst.org</w:t>
        </w:r>
      </w:hyperlink>
      <w:r>
        <w:rPr>
          <w:rFonts w:ascii="Arial" w:eastAsia="Arial" w:hAnsi="Arial" w:cs="Arial"/>
          <w:sz w:val="18"/>
          <w:lang w:val="fr-FR"/>
        </w:rPr>
        <w:t xml:space="preserve"> doit également être mentionné.</w:t>
      </w:r>
    </w:p>
    <w:p w14:paraId="224D7AA2" w14:textId="77777777" w:rsidR="00556528" w:rsidRPr="00556528" w:rsidRDefault="00556528" w:rsidP="004A5A5C">
      <w:pPr>
        <w:ind w:left="2268"/>
        <w:rPr>
          <w:rFonts w:ascii="Arial" w:eastAsia="Arial" w:hAnsi="Arial" w:cs="Arial"/>
          <w:sz w:val="18"/>
          <w:szCs w:val="22"/>
          <w:lang w:val="fr-FR"/>
        </w:rPr>
      </w:pPr>
    </w:p>
    <w:p w14:paraId="1166674E" w14:textId="77777777" w:rsidR="00556528" w:rsidRPr="00556528" w:rsidRDefault="00556528" w:rsidP="004A5A5C">
      <w:pPr>
        <w:autoSpaceDE w:val="0"/>
        <w:autoSpaceDN w:val="0"/>
        <w:adjustRightInd w:val="0"/>
        <w:rPr>
          <w:rFonts w:ascii="Arial" w:eastAsia="Arial" w:hAnsi="Arial" w:cs="Arial"/>
          <w:sz w:val="22"/>
          <w:szCs w:val="22"/>
          <w:lang w:val="fr-FR"/>
        </w:rPr>
      </w:pPr>
      <w:r>
        <w:rPr>
          <w:rFonts w:ascii="Arial" w:eastAsia="Arial" w:hAnsi="Arial" w:cs="Arial"/>
          <w:sz w:val="18"/>
          <w:lang w:val="fr-FR"/>
        </w:rPr>
        <w:t>CAWST et ses administrateurs, employés, contractants et bénévoles n'endossent aucune responsabilité et ne donnent aucune garantie en ce qui concerne les résultats pouvant être obtenus par l'utilisation des informations fournies.</w:t>
      </w:r>
    </w:p>
    <w:p w14:paraId="63B85BCE" w14:textId="77777777" w:rsidR="006879DA" w:rsidRPr="0039164A" w:rsidRDefault="006879DA" w:rsidP="004A5A5C">
      <w:pPr>
        <w:pStyle w:val="FactsheetReference"/>
      </w:pPr>
    </w:p>
    <w:sectPr w:rsidR="006879DA" w:rsidRPr="0039164A" w:rsidSect="00971817">
      <w:headerReference w:type="default" r:id="rId25"/>
      <w:footerReference w:type="default" r:id="rId26"/>
      <w:type w:val="continuous"/>
      <w:pgSz w:w="12240" w:h="15840" w:code="1"/>
      <w:pgMar w:top="1440" w:right="1440" w:bottom="1440" w:left="1440" w:header="561" w:footer="720" w:gutter="0"/>
      <w:cols w:space="720" w:equalWidth="0">
        <w:col w:w="900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733C" w14:textId="77777777" w:rsidR="003005A7" w:rsidRDefault="003005A7">
      <w:r>
        <w:separator/>
      </w:r>
    </w:p>
  </w:endnote>
  <w:endnote w:type="continuationSeparator" w:id="0">
    <w:p w14:paraId="2EF2BDA9" w14:textId="77777777" w:rsidR="003005A7" w:rsidRDefault="0030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Arial" w:hAnsi="Arial" w:cs="Arial"/>
        <w:sz w:val="22"/>
        <w:szCs w:val="22"/>
        <w:lang w:val="fr-FR"/>
      </w:rPr>
      <w:id w:val="-1066489262"/>
      <w:docPartObj>
        <w:docPartGallery w:val="Page Numbers (Bottom of Page)"/>
        <w:docPartUnique/>
      </w:docPartObj>
    </w:sdtPr>
    <w:sdtEndPr/>
    <w:sdtContent>
      <w:p w14:paraId="67DBAD97" w14:textId="42430E34" w:rsidR="00556528" w:rsidRPr="004A5A5C" w:rsidRDefault="00366851">
        <w:pPr>
          <w:pStyle w:val="Footer"/>
          <w:jc w:val="right"/>
          <w:rPr>
            <w:rFonts w:ascii="Arial" w:eastAsia="Arial" w:hAnsi="Arial" w:cs="Arial"/>
            <w:sz w:val="22"/>
            <w:szCs w:val="22"/>
            <w:lang w:val="fr-FR"/>
          </w:rPr>
        </w:pPr>
        <w:r w:rsidRPr="00431E94">
          <w:rPr>
            <w:noProof/>
            <w:szCs w:val="22"/>
            <w:lang w:eastAsia="en-CA"/>
          </w:rPr>
          <w:drawing>
            <wp:anchor distT="0" distB="0" distL="114300" distR="114300" simplePos="0" relativeHeight="251657216" behindDoc="0" locked="0" layoutInCell="1" allowOverlap="1" wp14:anchorId="0BC30254" wp14:editId="515C2097">
              <wp:simplePos x="0" y="0"/>
              <wp:positionH relativeFrom="column">
                <wp:posOffset>0</wp:posOffset>
              </wp:positionH>
              <wp:positionV relativeFrom="paragraph">
                <wp:posOffset>-134620</wp:posOffset>
              </wp:positionV>
              <wp:extent cx="867833"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00556528" w:rsidRPr="004A5A5C">
          <w:rPr>
            <w:rFonts w:ascii="Arial" w:eastAsia="Arial" w:hAnsi="Arial" w:cs="Arial"/>
            <w:sz w:val="22"/>
            <w:szCs w:val="22"/>
            <w:lang w:val="fr-FR"/>
          </w:rPr>
          <w:fldChar w:fldCharType="begin"/>
        </w:r>
        <w:r w:rsidR="00556528" w:rsidRPr="004A5A5C">
          <w:rPr>
            <w:rFonts w:ascii="Arial" w:eastAsia="Arial" w:hAnsi="Arial" w:cs="Arial"/>
            <w:sz w:val="22"/>
            <w:szCs w:val="22"/>
            <w:lang w:val="fr-FR"/>
          </w:rPr>
          <w:instrText xml:space="preserve"> PAGE   \* MERGEFORMAT </w:instrText>
        </w:r>
        <w:r w:rsidR="00556528" w:rsidRPr="004A5A5C">
          <w:rPr>
            <w:rFonts w:ascii="Arial" w:eastAsia="Arial" w:hAnsi="Arial" w:cs="Arial"/>
            <w:sz w:val="22"/>
            <w:szCs w:val="22"/>
            <w:lang w:val="fr-FR"/>
          </w:rPr>
          <w:fldChar w:fldCharType="separate"/>
        </w:r>
        <w:r w:rsidR="00BD6E08">
          <w:rPr>
            <w:rFonts w:ascii="Arial" w:eastAsia="Arial" w:hAnsi="Arial" w:cs="Arial"/>
            <w:noProof/>
            <w:sz w:val="22"/>
            <w:szCs w:val="22"/>
            <w:lang w:val="fr-FR"/>
          </w:rPr>
          <w:t>1</w:t>
        </w:r>
        <w:r w:rsidR="00556528" w:rsidRPr="004A5A5C">
          <w:rPr>
            <w:rFonts w:ascii="Arial" w:eastAsia="Arial" w:hAnsi="Arial" w:cs="Arial"/>
            <w:sz w:val="22"/>
            <w:szCs w:val="22"/>
            <w:lang w:val="fr-FR"/>
          </w:rPr>
          <w:fldChar w:fldCharType="end"/>
        </w:r>
      </w:p>
    </w:sdtContent>
  </w:sdt>
  <w:p w14:paraId="626964ED" w14:textId="1935DBEF" w:rsidR="004214C5" w:rsidRPr="0035164F" w:rsidRDefault="004214C5" w:rsidP="00556528">
    <w:pPr>
      <w:pStyle w:val="Footer"/>
      <w:ind w:right="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1D013" w14:textId="77777777" w:rsidR="003005A7" w:rsidRDefault="003005A7">
      <w:r>
        <w:separator/>
      </w:r>
    </w:p>
  </w:footnote>
  <w:footnote w:type="continuationSeparator" w:id="0">
    <w:p w14:paraId="62D4C250" w14:textId="77777777" w:rsidR="003005A7" w:rsidRDefault="00300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B4BA" w14:textId="77777777" w:rsidR="004214C5" w:rsidRPr="00BD6E08" w:rsidRDefault="004214C5" w:rsidP="005D602B">
    <w:pPr>
      <w:pStyle w:val="Header"/>
      <w:tabs>
        <w:tab w:val="clear" w:pos="8640"/>
        <w:tab w:val="right" w:pos="8646"/>
      </w:tabs>
      <w:rPr>
        <w:sz w:val="22"/>
        <w:lang w:val="fr-FR"/>
      </w:rPr>
    </w:pPr>
    <w:r w:rsidRPr="00BD6E08">
      <w:rPr>
        <w:sz w:val="22"/>
        <w:lang w:val="fr-FR" w:eastAsia="en-CA"/>
      </w:rPr>
      <w:drawing>
        <wp:inline distT="0" distB="0" distL="0" distR="0" wp14:anchorId="61C43999" wp14:editId="3FE27D8C">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048D7F36" w14:textId="40CD0AE1" w:rsidR="004214C5" w:rsidRPr="00BD6E08" w:rsidRDefault="004214C5">
    <w:pPr>
      <w:pStyle w:val="Header"/>
      <w:rPr>
        <w:rFonts w:ascii="Arial" w:eastAsia="Arial" w:hAnsi="Arial" w:cs="Arial"/>
        <w:b/>
        <w:sz w:val="32"/>
        <w:szCs w:val="36"/>
        <w:lang w:val="fr-FR"/>
      </w:rPr>
    </w:pPr>
    <w:r w:rsidRPr="00BD6E08">
      <w:rPr>
        <w:rFonts w:ascii="Arial" w:eastAsia="Arial" w:hAnsi="Arial" w:cs="Arial"/>
        <w:b/>
        <w:sz w:val="32"/>
        <w:lang w:val="fr-FR"/>
      </w:rPr>
      <w:t>Fiche technique : Impact du WASH sur la santé reproductive, maternelle, néonatale et infantile</w:t>
    </w:r>
  </w:p>
  <w:p w14:paraId="57F8B076" w14:textId="77777777" w:rsidR="00556528" w:rsidRPr="00BD6E08" w:rsidRDefault="00556528">
    <w:pPr>
      <w:pStyle w:val="Header"/>
      <w:rPr>
        <w:rFonts w:ascii="Arial" w:eastAsia="Arial" w:hAnsi="Arial" w:cs="Arial"/>
        <w:b/>
        <w:sz w:val="20"/>
        <w:szCs w:val="22"/>
        <w:lang w:val="fr-FR"/>
      </w:rPr>
    </w:pPr>
  </w:p>
  <w:p w14:paraId="0ED646EF" w14:textId="77777777" w:rsidR="004214C5" w:rsidRPr="00BD6E08" w:rsidRDefault="004214C5">
    <w:pPr>
      <w:pStyle w:val="Header"/>
      <w:rPr>
        <w:rFonts w:ascii="Arial" w:eastAsia="Arial" w:hAnsi="Arial" w:cs="Arial"/>
        <w:b/>
        <w:sz w:val="14"/>
        <w:szCs w:val="36"/>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79E"/>
    <w:multiLevelType w:val="hybridMultilevel"/>
    <w:tmpl w:val="4498FB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DD13172"/>
    <w:multiLevelType w:val="hybridMultilevel"/>
    <w:tmpl w:val="4C3E4D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A835C90"/>
    <w:multiLevelType w:val="hybridMultilevel"/>
    <w:tmpl w:val="9E0A8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D9A60F2"/>
    <w:multiLevelType w:val="hybridMultilevel"/>
    <w:tmpl w:val="0EDEA030"/>
    <w:lvl w:ilvl="0" w:tplc="A574C9E6">
      <w:start w:val="1"/>
      <w:numFmt w:val="bullet"/>
      <w:pStyle w:val="Factsheetbullet"/>
      <w:lvlText w:val=""/>
      <w:lvlJc w:val="left"/>
      <w:pPr>
        <w:tabs>
          <w:tab w:val="num" w:pos="360"/>
        </w:tabs>
        <w:ind w:left="360" w:hanging="360"/>
      </w:pPr>
      <w:rPr>
        <w:rFonts w:ascii="Symbol" w:hAnsi="Symbol" w:hint="default"/>
      </w:rPr>
    </w:lvl>
    <w:lvl w:ilvl="1" w:tplc="AC609552">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B6927"/>
    <w:multiLevelType w:val="hybridMultilevel"/>
    <w:tmpl w:val="731C7156"/>
    <w:lvl w:ilvl="0" w:tplc="B270F526">
      <w:start w:val="1"/>
      <w:numFmt w:val="bullet"/>
      <w:lvlText w:val=""/>
      <w:lvlJc w:val="left"/>
      <w:pPr>
        <w:ind w:left="360" w:hanging="360"/>
      </w:pPr>
      <w:rPr>
        <w:rFonts w:ascii="Symbol" w:hAnsi="Symbol" w:hint="default"/>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543D16"/>
    <w:multiLevelType w:val="hybridMultilevel"/>
    <w:tmpl w:val="4A5E85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89B7A8B"/>
    <w:multiLevelType w:val="hybridMultilevel"/>
    <w:tmpl w:val="2AB48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4B37B0"/>
    <w:multiLevelType w:val="hybridMultilevel"/>
    <w:tmpl w:val="22FC7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8A43482"/>
    <w:multiLevelType w:val="hybridMultilevel"/>
    <w:tmpl w:val="41FE2A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D3A2CA6"/>
    <w:multiLevelType w:val="hybridMultilevel"/>
    <w:tmpl w:val="BF9435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3E5640A"/>
    <w:multiLevelType w:val="hybridMultilevel"/>
    <w:tmpl w:val="595A2D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574402D"/>
    <w:multiLevelType w:val="hybridMultilevel"/>
    <w:tmpl w:val="BB7AC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9A167A"/>
    <w:multiLevelType w:val="hybridMultilevel"/>
    <w:tmpl w:val="7D2C94E6"/>
    <w:lvl w:ilvl="0" w:tplc="B270F526">
      <w:start w:val="1"/>
      <w:numFmt w:val="bullet"/>
      <w:lvlText w:val=""/>
      <w:lvlJc w:val="left"/>
      <w:pPr>
        <w:ind w:left="36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3E1AEC"/>
    <w:multiLevelType w:val="hybridMultilevel"/>
    <w:tmpl w:val="288C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A458E"/>
    <w:multiLevelType w:val="hybridMultilevel"/>
    <w:tmpl w:val="5AD2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79581F"/>
    <w:multiLevelType w:val="hybridMultilevel"/>
    <w:tmpl w:val="D96A6662"/>
    <w:lvl w:ilvl="0" w:tplc="A4F4CE46">
      <w:start w:val="1"/>
      <w:numFmt w:val="decimal"/>
      <w:pStyle w:val="Factsheetnumbered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E359AE"/>
    <w:multiLevelType w:val="hybridMultilevel"/>
    <w:tmpl w:val="618228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F054020"/>
    <w:multiLevelType w:val="hybridMultilevel"/>
    <w:tmpl w:val="EBACA4A2"/>
    <w:lvl w:ilvl="0" w:tplc="498855C2">
      <w:start w:val="1"/>
      <w:numFmt w:val="bullet"/>
      <w:pStyle w:val="Factsheettablebullet"/>
      <w:lvlText w:val=""/>
      <w:lvlJc w:val="left"/>
      <w:pPr>
        <w:tabs>
          <w:tab w:val="num" w:pos="72"/>
        </w:tabs>
        <w:ind w:left="144" w:hanging="144"/>
      </w:pPr>
      <w:rPr>
        <w:rFonts w:ascii="Symbol" w:hAnsi="Symbol" w:hint="default"/>
        <w:sz w:val="16"/>
      </w:rPr>
    </w:lvl>
    <w:lvl w:ilvl="1" w:tplc="8852525C" w:tentative="1">
      <w:start w:val="1"/>
      <w:numFmt w:val="bullet"/>
      <w:lvlText w:val="o"/>
      <w:lvlJc w:val="left"/>
      <w:pPr>
        <w:tabs>
          <w:tab w:val="num" w:pos="1440"/>
        </w:tabs>
        <w:ind w:left="1440" w:hanging="360"/>
      </w:pPr>
      <w:rPr>
        <w:rFonts w:ascii="Courier New" w:hAnsi="Courier New" w:cs="Courier New" w:hint="default"/>
      </w:rPr>
    </w:lvl>
    <w:lvl w:ilvl="2" w:tplc="FF086F58" w:tentative="1">
      <w:start w:val="1"/>
      <w:numFmt w:val="bullet"/>
      <w:lvlText w:val=""/>
      <w:lvlJc w:val="left"/>
      <w:pPr>
        <w:tabs>
          <w:tab w:val="num" w:pos="2160"/>
        </w:tabs>
        <w:ind w:left="2160" w:hanging="360"/>
      </w:pPr>
      <w:rPr>
        <w:rFonts w:ascii="Wingdings" w:hAnsi="Wingdings" w:hint="default"/>
      </w:rPr>
    </w:lvl>
    <w:lvl w:ilvl="3" w:tplc="2556BBFC" w:tentative="1">
      <w:start w:val="1"/>
      <w:numFmt w:val="bullet"/>
      <w:lvlText w:val=""/>
      <w:lvlJc w:val="left"/>
      <w:pPr>
        <w:tabs>
          <w:tab w:val="num" w:pos="2880"/>
        </w:tabs>
        <w:ind w:left="2880" w:hanging="360"/>
      </w:pPr>
      <w:rPr>
        <w:rFonts w:ascii="Symbol" w:hAnsi="Symbol" w:hint="default"/>
      </w:rPr>
    </w:lvl>
    <w:lvl w:ilvl="4" w:tplc="67766F7C" w:tentative="1">
      <w:start w:val="1"/>
      <w:numFmt w:val="bullet"/>
      <w:lvlText w:val="o"/>
      <w:lvlJc w:val="left"/>
      <w:pPr>
        <w:tabs>
          <w:tab w:val="num" w:pos="3600"/>
        </w:tabs>
        <w:ind w:left="3600" w:hanging="360"/>
      </w:pPr>
      <w:rPr>
        <w:rFonts w:ascii="Courier New" w:hAnsi="Courier New" w:cs="Courier New" w:hint="default"/>
      </w:rPr>
    </w:lvl>
    <w:lvl w:ilvl="5" w:tplc="81B6AC4C" w:tentative="1">
      <w:start w:val="1"/>
      <w:numFmt w:val="bullet"/>
      <w:lvlText w:val=""/>
      <w:lvlJc w:val="left"/>
      <w:pPr>
        <w:tabs>
          <w:tab w:val="num" w:pos="4320"/>
        </w:tabs>
        <w:ind w:left="4320" w:hanging="360"/>
      </w:pPr>
      <w:rPr>
        <w:rFonts w:ascii="Wingdings" w:hAnsi="Wingdings" w:hint="default"/>
      </w:rPr>
    </w:lvl>
    <w:lvl w:ilvl="6" w:tplc="6EAC1920" w:tentative="1">
      <w:start w:val="1"/>
      <w:numFmt w:val="bullet"/>
      <w:lvlText w:val=""/>
      <w:lvlJc w:val="left"/>
      <w:pPr>
        <w:tabs>
          <w:tab w:val="num" w:pos="5040"/>
        </w:tabs>
        <w:ind w:left="5040" w:hanging="360"/>
      </w:pPr>
      <w:rPr>
        <w:rFonts w:ascii="Symbol" w:hAnsi="Symbol" w:hint="default"/>
      </w:rPr>
    </w:lvl>
    <w:lvl w:ilvl="7" w:tplc="6A20E5AC" w:tentative="1">
      <w:start w:val="1"/>
      <w:numFmt w:val="bullet"/>
      <w:lvlText w:val="o"/>
      <w:lvlJc w:val="left"/>
      <w:pPr>
        <w:tabs>
          <w:tab w:val="num" w:pos="5760"/>
        </w:tabs>
        <w:ind w:left="5760" w:hanging="360"/>
      </w:pPr>
      <w:rPr>
        <w:rFonts w:ascii="Courier New" w:hAnsi="Courier New" w:cs="Courier New" w:hint="default"/>
      </w:rPr>
    </w:lvl>
    <w:lvl w:ilvl="8" w:tplc="99B65E1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16"/>
  </w:num>
  <w:num w:numId="4">
    <w:abstractNumId w:val="9"/>
  </w:num>
  <w:num w:numId="5">
    <w:abstractNumId w:val="6"/>
  </w:num>
  <w:num w:numId="6">
    <w:abstractNumId w:val="14"/>
  </w:num>
  <w:num w:numId="7">
    <w:abstractNumId w:val="15"/>
  </w:num>
  <w:num w:numId="8">
    <w:abstractNumId w:val="4"/>
  </w:num>
  <w:num w:numId="9">
    <w:abstractNumId w:val="12"/>
  </w:num>
  <w:num w:numId="10">
    <w:abstractNumId w:val="13"/>
  </w:num>
  <w:num w:numId="11">
    <w:abstractNumId w:val="17"/>
  </w:num>
  <w:num w:numId="12">
    <w:abstractNumId w:val="0"/>
  </w:num>
  <w:num w:numId="13">
    <w:abstractNumId w:val="18"/>
  </w:num>
  <w:num w:numId="14">
    <w:abstractNumId w:val="8"/>
  </w:num>
  <w:num w:numId="15">
    <w:abstractNumId w:val="10"/>
  </w:num>
  <w:num w:numId="16">
    <w:abstractNumId w:val="7"/>
  </w:num>
  <w:num w:numId="17">
    <w:abstractNumId w:val="11"/>
  </w:num>
  <w:num w:numId="18">
    <w:abstractNumId w:val="1"/>
  </w:num>
  <w:num w:numId="19">
    <w:abstractNumId w:val="2"/>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467"/>
    <w:rsid w:val="000107B2"/>
    <w:rsid w:val="00016BA8"/>
    <w:rsid w:val="00024528"/>
    <w:rsid w:val="00025DDE"/>
    <w:rsid w:val="00031418"/>
    <w:rsid w:val="00033600"/>
    <w:rsid w:val="00046EA7"/>
    <w:rsid w:val="00053B99"/>
    <w:rsid w:val="0006369B"/>
    <w:rsid w:val="00064001"/>
    <w:rsid w:val="000661C5"/>
    <w:rsid w:val="0006684A"/>
    <w:rsid w:val="0007406D"/>
    <w:rsid w:val="000741E3"/>
    <w:rsid w:val="00075542"/>
    <w:rsid w:val="0008428D"/>
    <w:rsid w:val="000855D2"/>
    <w:rsid w:val="000867CD"/>
    <w:rsid w:val="000A1EFD"/>
    <w:rsid w:val="000A7618"/>
    <w:rsid w:val="000A7CFD"/>
    <w:rsid w:val="000B65CA"/>
    <w:rsid w:val="000B74B1"/>
    <w:rsid w:val="000C1308"/>
    <w:rsid w:val="000C1B08"/>
    <w:rsid w:val="000C43BE"/>
    <w:rsid w:val="000D0D9C"/>
    <w:rsid w:val="000D2AA0"/>
    <w:rsid w:val="000D478C"/>
    <w:rsid w:val="000D5D15"/>
    <w:rsid w:val="000D643D"/>
    <w:rsid w:val="000D7211"/>
    <w:rsid w:val="000E244F"/>
    <w:rsid w:val="000E3B23"/>
    <w:rsid w:val="000F05A6"/>
    <w:rsid w:val="000F0C66"/>
    <w:rsid w:val="000F51CA"/>
    <w:rsid w:val="000F711D"/>
    <w:rsid w:val="00104CA0"/>
    <w:rsid w:val="00104E6B"/>
    <w:rsid w:val="0011189A"/>
    <w:rsid w:val="001134B7"/>
    <w:rsid w:val="00123341"/>
    <w:rsid w:val="001270B3"/>
    <w:rsid w:val="001312BC"/>
    <w:rsid w:val="00136F1F"/>
    <w:rsid w:val="00142DEE"/>
    <w:rsid w:val="00143296"/>
    <w:rsid w:val="00144E46"/>
    <w:rsid w:val="001530E9"/>
    <w:rsid w:val="00153E87"/>
    <w:rsid w:val="00154A43"/>
    <w:rsid w:val="001616D3"/>
    <w:rsid w:val="00171886"/>
    <w:rsid w:val="00183E7C"/>
    <w:rsid w:val="00187DA3"/>
    <w:rsid w:val="00195479"/>
    <w:rsid w:val="00196CC4"/>
    <w:rsid w:val="001A0156"/>
    <w:rsid w:val="001A1029"/>
    <w:rsid w:val="001A1DD4"/>
    <w:rsid w:val="001A253B"/>
    <w:rsid w:val="001A3643"/>
    <w:rsid w:val="001B09AC"/>
    <w:rsid w:val="001B1022"/>
    <w:rsid w:val="001B2E18"/>
    <w:rsid w:val="001B45CF"/>
    <w:rsid w:val="001B53C1"/>
    <w:rsid w:val="001B627E"/>
    <w:rsid w:val="001C2679"/>
    <w:rsid w:val="001D663F"/>
    <w:rsid w:val="001D785A"/>
    <w:rsid w:val="001E0069"/>
    <w:rsid w:val="001E490D"/>
    <w:rsid w:val="001E7857"/>
    <w:rsid w:val="001F2C65"/>
    <w:rsid w:val="001F3FE2"/>
    <w:rsid w:val="001F4475"/>
    <w:rsid w:val="001F671E"/>
    <w:rsid w:val="001F6AEE"/>
    <w:rsid w:val="00200F86"/>
    <w:rsid w:val="00202470"/>
    <w:rsid w:val="00202B76"/>
    <w:rsid w:val="00211F68"/>
    <w:rsid w:val="00223631"/>
    <w:rsid w:val="00230D65"/>
    <w:rsid w:val="00230DE5"/>
    <w:rsid w:val="00234CF6"/>
    <w:rsid w:val="00242981"/>
    <w:rsid w:val="00244587"/>
    <w:rsid w:val="00246136"/>
    <w:rsid w:val="00253121"/>
    <w:rsid w:val="00253ECF"/>
    <w:rsid w:val="00254002"/>
    <w:rsid w:val="00255DCB"/>
    <w:rsid w:val="00260D7F"/>
    <w:rsid w:val="0026268E"/>
    <w:rsid w:val="002641BE"/>
    <w:rsid w:val="00266603"/>
    <w:rsid w:val="00267CA6"/>
    <w:rsid w:val="00270DB6"/>
    <w:rsid w:val="00273D75"/>
    <w:rsid w:val="00276F7F"/>
    <w:rsid w:val="00283C78"/>
    <w:rsid w:val="00287489"/>
    <w:rsid w:val="00291879"/>
    <w:rsid w:val="00292522"/>
    <w:rsid w:val="00295A7F"/>
    <w:rsid w:val="002A0DC9"/>
    <w:rsid w:val="002A5818"/>
    <w:rsid w:val="002B310E"/>
    <w:rsid w:val="002B5AC2"/>
    <w:rsid w:val="002C026D"/>
    <w:rsid w:val="002C2E8A"/>
    <w:rsid w:val="002D24DE"/>
    <w:rsid w:val="002D3D5A"/>
    <w:rsid w:val="002D4060"/>
    <w:rsid w:val="002D46AA"/>
    <w:rsid w:val="002D50E5"/>
    <w:rsid w:val="002D6F4B"/>
    <w:rsid w:val="002D7929"/>
    <w:rsid w:val="002E0DFA"/>
    <w:rsid w:val="002E3407"/>
    <w:rsid w:val="002E39EC"/>
    <w:rsid w:val="002E4CFE"/>
    <w:rsid w:val="002E5021"/>
    <w:rsid w:val="002F1540"/>
    <w:rsid w:val="002F28B0"/>
    <w:rsid w:val="003005A7"/>
    <w:rsid w:val="00310477"/>
    <w:rsid w:val="00310F2E"/>
    <w:rsid w:val="003115EB"/>
    <w:rsid w:val="00317456"/>
    <w:rsid w:val="00317E19"/>
    <w:rsid w:val="00320BCC"/>
    <w:rsid w:val="00321128"/>
    <w:rsid w:val="00324AB4"/>
    <w:rsid w:val="00325622"/>
    <w:rsid w:val="003347D2"/>
    <w:rsid w:val="003368E9"/>
    <w:rsid w:val="00337516"/>
    <w:rsid w:val="00341C05"/>
    <w:rsid w:val="0035164F"/>
    <w:rsid w:val="00354133"/>
    <w:rsid w:val="00354226"/>
    <w:rsid w:val="003607EF"/>
    <w:rsid w:val="00362FCA"/>
    <w:rsid w:val="003642D7"/>
    <w:rsid w:val="00366851"/>
    <w:rsid w:val="00373AAB"/>
    <w:rsid w:val="00373DC0"/>
    <w:rsid w:val="003757FF"/>
    <w:rsid w:val="00375913"/>
    <w:rsid w:val="00376BAB"/>
    <w:rsid w:val="003771B3"/>
    <w:rsid w:val="0038249F"/>
    <w:rsid w:val="0038527C"/>
    <w:rsid w:val="00385A2E"/>
    <w:rsid w:val="00390547"/>
    <w:rsid w:val="003A00A2"/>
    <w:rsid w:val="003A6FFE"/>
    <w:rsid w:val="003A7948"/>
    <w:rsid w:val="003B203C"/>
    <w:rsid w:val="003C1679"/>
    <w:rsid w:val="003C5787"/>
    <w:rsid w:val="003C591D"/>
    <w:rsid w:val="003D4355"/>
    <w:rsid w:val="003D5912"/>
    <w:rsid w:val="003E5730"/>
    <w:rsid w:val="003E70BD"/>
    <w:rsid w:val="003F07F0"/>
    <w:rsid w:val="003F35E8"/>
    <w:rsid w:val="003F683F"/>
    <w:rsid w:val="0040353A"/>
    <w:rsid w:val="004059CB"/>
    <w:rsid w:val="0041293E"/>
    <w:rsid w:val="00415B60"/>
    <w:rsid w:val="004214C5"/>
    <w:rsid w:val="0042296A"/>
    <w:rsid w:val="00422D9A"/>
    <w:rsid w:val="0042490F"/>
    <w:rsid w:val="00424D6C"/>
    <w:rsid w:val="0042508D"/>
    <w:rsid w:val="00425C01"/>
    <w:rsid w:val="0044088E"/>
    <w:rsid w:val="00444871"/>
    <w:rsid w:val="004452CF"/>
    <w:rsid w:val="0045083C"/>
    <w:rsid w:val="00455C25"/>
    <w:rsid w:val="00456DBF"/>
    <w:rsid w:val="00457364"/>
    <w:rsid w:val="00461F22"/>
    <w:rsid w:val="00466025"/>
    <w:rsid w:val="00476467"/>
    <w:rsid w:val="00480153"/>
    <w:rsid w:val="004813C1"/>
    <w:rsid w:val="004823CD"/>
    <w:rsid w:val="004839D2"/>
    <w:rsid w:val="00484291"/>
    <w:rsid w:val="004936CD"/>
    <w:rsid w:val="00494856"/>
    <w:rsid w:val="004A225F"/>
    <w:rsid w:val="004A2A20"/>
    <w:rsid w:val="004A5A5C"/>
    <w:rsid w:val="004A749E"/>
    <w:rsid w:val="004B0149"/>
    <w:rsid w:val="004B4FA9"/>
    <w:rsid w:val="004C2132"/>
    <w:rsid w:val="004C44AC"/>
    <w:rsid w:val="004C51E7"/>
    <w:rsid w:val="004E65BE"/>
    <w:rsid w:val="004F2807"/>
    <w:rsid w:val="00506104"/>
    <w:rsid w:val="005113CA"/>
    <w:rsid w:val="00511C71"/>
    <w:rsid w:val="00513BF5"/>
    <w:rsid w:val="00515092"/>
    <w:rsid w:val="005236E3"/>
    <w:rsid w:val="0053007D"/>
    <w:rsid w:val="005338F4"/>
    <w:rsid w:val="00535241"/>
    <w:rsid w:val="00535917"/>
    <w:rsid w:val="005436A2"/>
    <w:rsid w:val="005516CE"/>
    <w:rsid w:val="005521A7"/>
    <w:rsid w:val="005545C2"/>
    <w:rsid w:val="00556528"/>
    <w:rsid w:val="00567944"/>
    <w:rsid w:val="00574460"/>
    <w:rsid w:val="005768E4"/>
    <w:rsid w:val="00577E1A"/>
    <w:rsid w:val="00580059"/>
    <w:rsid w:val="0058379D"/>
    <w:rsid w:val="00583BA5"/>
    <w:rsid w:val="005942F6"/>
    <w:rsid w:val="00594AD7"/>
    <w:rsid w:val="00596928"/>
    <w:rsid w:val="005A3725"/>
    <w:rsid w:val="005B0CEA"/>
    <w:rsid w:val="005B42C2"/>
    <w:rsid w:val="005B691C"/>
    <w:rsid w:val="005B6C5C"/>
    <w:rsid w:val="005B7869"/>
    <w:rsid w:val="005C2EBC"/>
    <w:rsid w:val="005C36EF"/>
    <w:rsid w:val="005C4A43"/>
    <w:rsid w:val="005C6728"/>
    <w:rsid w:val="005D602B"/>
    <w:rsid w:val="005D7BDF"/>
    <w:rsid w:val="005E064D"/>
    <w:rsid w:val="005E2462"/>
    <w:rsid w:val="005E3EB5"/>
    <w:rsid w:val="005E6F6D"/>
    <w:rsid w:val="005F2C6B"/>
    <w:rsid w:val="005F4840"/>
    <w:rsid w:val="005F52B1"/>
    <w:rsid w:val="00602E6A"/>
    <w:rsid w:val="006075C8"/>
    <w:rsid w:val="0062163C"/>
    <w:rsid w:val="00637EBE"/>
    <w:rsid w:val="0065023A"/>
    <w:rsid w:val="006534BE"/>
    <w:rsid w:val="00654B69"/>
    <w:rsid w:val="00654E96"/>
    <w:rsid w:val="00663D5C"/>
    <w:rsid w:val="00667907"/>
    <w:rsid w:val="00675ECA"/>
    <w:rsid w:val="006769B5"/>
    <w:rsid w:val="006834A4"/>
    <w:rsid w:val="00685BD0"/>
    <w:rsid w:val="006879DA"/>
    <w:rsid w:val="00693548"/>
    <w:rsid w:val="006A2004"/>
    <w:rsid w:val="006A277B"/>
    <w:rsid w:val="006A4F64"/>
    <w:rsid w:val="006B1800"/>
    <w:rsid w:val="006B3EFC"/>
    <w:rsid w:val="006B4079"/>
    <w:rsid w:val="006B45EE"/>
    <w:rsid w:val="006C16DC"/>
    <w:rsid w:val="006C3A64"/>
    <w:rsid w:val="006C4478"/>
    <w:rsid w:val="006C4DE4"/>
    <w:rsid w:val="006C5A2D"/>
    <w:rsid w:val="006D1874"/>
    <w:rsid w:val="006D4BFD"/>
    <w:rsid w:val="006D709A"/>
    <w:rsid w:val="006D7F5F"/>
    <w:rsid w:val="006E0F15"/>
    <w:rsid w:val="006F472F"/>
    <w:rsid w:val="006F5A6D"/>
    <w:rsid w:val="006F6FFE"/>
    <w:rsid w:val="007057EF"/>
    <w:rsid w:val="0070599B"/>
    <w:rsid w:val="007121AF"/>
    <w:rsid w:val="00714ED5"/>
    <w:rsid w:val="00715D0E"/>
    <w:rsid w:val="00716CF7"/>
    <w:rsid w:val="0071708C"/>
    <w:rsid w:val="00717C75"/>
    <w:rsid w:val="00721986"/>
    <w:rsid w:val="00725C61"/>
    <w:rsid w:val="00731DEA"/>
    <w:rsid w:val="00733FCD"/>
    <w:rsid w:val="007348D3"/>
    <w:rsid w:val="00734D78"/>
    <w:rsid w:val="00735E56"/>
    <w:rsid w:val="007426E4"/>
    <w:rsid w:val="00742D7A"/>
    <w:rsid w:val="007436AE"/>
    <w:rsid w:val="00744EC1"/>
    <w:rsid w:val="00753048"/>
    <w:rsid w:val="007608AC"/>
    <w:rsid w:val="00762CB4"/>
    <w:rsid w:val="00770D59"/>
    <w:rsid w:val="00773CCA"/>
    <w:rsid w:val="00781458"/>
    <w:rsid w:val="007821C5"/>
    <w:rsid w:val="00787287"/>
    <w:rsid w:val="00797A50"/>
    <w:rsid w:val="007A458B"/>
    <w:rsid w:val="007B62A6"/>
    <w:rsid w:val="007C4778"/>
    <w:rsid w:val="007C48AE"/>
    <w:rsid w:val="007C51DC"/>
    <w:rsid w:val="007C6D68"/>
    <w:rsid w:val="007D13AE"/>
    <w:rsid w:val="007D2B66"/>
    <w:rsid w:val="007D2CC1"/>
    <w:rsid w:val="007D7891"/>
    <w:rsid w:val="007E19D9"/>
    <w:rsid w:val="007E1E22"/>
    <w:rsid w:val="007E5336"/>
    <w:rsid w:val="007E764F"/>
    <w:rsid w:val="007F2B01"/>
    <w:rsid w:val="007F4570"/>
    <w:rsid w:val="007F4649"/>
    <w:rsid w:val="007F5D67"/>
    <w:rsid w:val="00807124"/>
    <w:rsid w:val="0081029D"/>
    <w:rsid w:val="00816369"/>
    <w:rsid w:val="00816A3E"/>
    <w:rsid w:val="00817178"/>
    <w:rsid w:val="0082060A"/>
    <w:rsid w:val="00823706"/>
    <w:rsid w:val="00824202"/>
    <w:rsid w:val="008265CA"/>
    <w:rsid w:val="008347D9"/>
    <w:rsid w:val="008363EE"/>
    <w:rsid w:val="008373F1"/>
    <w:rsid w:val="0084282B"/>
    <w:rsid w:val="008433D9"/>
    <w:rsid w:val="00843B39"/>
    <w:rsid w:val="00843F84"/>
    <w:rsid w:val="0085372F"/>
    <w:rsid w:val="00857B5F"/>
    <w:rsid w:val="0086421F"/>
    <w:rsid w:val="00876CB2"/>
    <w:rsid w:val="00891091"/>
    <w:rsid w:val="008912C8"/>
    <w:rsid w:val="00894692"/>
    <w:rsid w:val="00895AE8"/>
    <w:rsid w:val="008966EC"/>
    <w:rsid w:val="00896D71"/>
    <w:rsid w:val="008A091B"/>
    <w:rsid w:val="008A4475"/>
    <w:rsid w:val="008A616A"/>
    <w:rsid w:val="008B2102"/>
    <w:rsid w:val="008B43D4"/>
    <w:rsid w:val="008B5674"/>
    <w:rsid w:val="008C47AC"/>
    <w:rsid w:val="008C550B"/>
    <w:rsid w:val="008D07E1"/>
    <w:rsid w:val="008D4620"/>
    <w:rsid w:val="008D6E64"/>
    <w:rsid w:val="008E0A1A"/>
    <w:rsid w:val="008F5CDA"/>
    <w:rsid w:val="008F6EBF"/>
    <w:rsid w:val="00900D1F"/>
    <w:rsid w:val="009031C1"/>
    <w:rsid w:val="009071D5"/>
    <w:rsid w:val="00910632"/>
    <w:rsid w:val="0091065A"/>
    <w:rsid w:val="009116AE"/>
    <w:rsid w:val="009128BE"/>
    <w:rsid w:val="00914065"/>
    <w:rsid w:val="00923D2C"/>
    <w:rsid w:val="009272A0"/>
    <w:rsid w:val="009329A2"/>
    <w:rsid w:val="00935B44"/>
    <w:rsid w:val="00936D11"/>
    <w:rsid w:val="0094328F"/>
    <w:rsid w:val="0094690A"/>
    <w:rsid w:val="009560BB"/>
    <w:rsid w:val="00964EF9"/>
    <w:rsid w:val="00965856"/>
    <w:rsid w:val="00970BC0"/>
    <w:rsid w:val="00971817"/>
    <w:rsid w:val="009721F9"/>
    <w:rsid w:val="00974423"/>
    <w:rsid w:val="009770AD"/>
    <w:rsid w:val="009813AA"/>
    <w:rsid w:val="009842C2"/>
    <w:rsid w:val="0098441B"/>
    <w:rsid w:val="0098471C"/>
    <w:rsid w:val="00985E7B"/>
    <w:rsid w:val="009862C5"/>
    <w:rsid w:val="00991F17"/>
    <w:rsid w:val="009A426B"/>
    <w:rsid w:val="009A4409"/>
    <w:rsid w:val="009A651B"/>
    <w:rsid w:val="009C29AB"/>
    <w:rsid w:val="009C32B4"/>
    <w:rsid w:val="009C405A"/>
    <w:rsid w:val="009D4106"/>
    <w:rsid w:val="009D67E9"/>
    <w:rsid w:val="009E0B0F"/>
    <w:rsid w:val="00A011FF"/>
    <w:rsid w:val="00A07DAC"/>
    <w:rsid w:val="00A158E7"/>
    <w:rsid w:val="00A260AA"/>
    <w:rsid w:val="00A33109"/>
    <w:rsid w:val="00A35242"/>
    <w:rsid w:val="00A365D5"/>
    <w:rsid w:val="00A408CD"/>
    <w:rsid w:val="00A476D3"/>
    <w:rsid w:val="00A517CE"/>
    <w:rsid w:val="00A625C8"/>
    <w:rsid w:val="00A651F9"/>
    <w:rsid w:val="00A739E4"/>
    <w:rsid w:val="00A80C20"/>
    <w:rsid w:val="00A96CC0"/>
    <w:rsid w:val="00AA1FCA"/>
    <w:rsid w:val="00AB06C5"/>
    <w:rsid w:val="00AB5864"/>
    <w:rsid w:val="00AD1A01"/>
    <w:rsid w:val="00AE0135"/>
    <w:rsid w:val="00AE0A3D"/>
    <w:rsid w:val="00AE2F2B"/>
    <w:rsid w:val="00AF09EF"/>
    <w:rsid w:val="00AF5D3E"/>
    <w:rsid w:val="00AF7031"/>
    <w:rsid w:val="00B0055F"/>
    <w:rsid w:val="00B03706"/>
    <w:rsid w:val="00B03DE0"/>
    <w:rsid w:val="00B054E3"/>
    <w:rsid w:val="00B11CCF"/>
    <w:rsid w:val="00B22D90"/>
    <w:rsid w:val="00B24A67"/>
    <w:rsid w:val="00B26334"/>
    <w:rsid w:val="00B3022A"/>
    <w:rsid w:val="00B30D62"/>
    <w:rsid w:val="00B31621"/>
    <w:rsid w:val="00B33929"/>
    <w:rsid w:val="00B40CF6"/>
    <w:rsid w:val="00B40D1B"/>
    <w:rsid w:val="00B42715"/>
    <w:rsid w:val="00B43DF1"/>
    <w:rsid w:val="00B4583A"/>
    <w:rsid w:val="00B478D6"/>
    <w:rsid w:val="00B60F18"/>
    <w:rsid w:val="00B610E1"/>
    <w:rsid w:val="00B7488B"/>
    <w:rsid w:val="00B77C86"/>
    <w:rsid w:val="00B82ACE"/>
    <w:rsid w:val="00B91828"/>
    <w:rsid w:val="00BA01FB"/>
    <w:rsid w:val="00BB31B9"/>
    <w:rsid w:val="00BB564C"/>
    <w:rsid w:val="00BB772D"/>
    <w:rsid w:val="00BC0C1F"/>
    <w:rsid w:val="00BC2745"/>
    <w:rsid w:val="00BC5B49"/>
    <w:rsid w:val="00BC5D8E"/>
    <w:rsid w:val="00BC61DF"/>
    <w:rsid w:val="00BD0616"/>
    <w:rsid w:val="00BD6E08"/>
    <w:rsid w:val="00BD757A"/>
    <w:rsid w:val="00BE2716"/>
    <w:rsid w:val="00BE291E"/>
    <w:rsid w:val="00BF2B95"/>
    <w:rsid w:val="00C000DC"/>
    <w:rsid w:val="00C036F8"/>
    <w:rsid w:val="00C16552"/>
    <w:rsid w:val="00C17666"/>
    <w:rsid w:val="00C17D10"/>
    <w:rsid w:val="00C23C18"/>
    <w:rsid w:val="00C25576"/>
    <w:rsid w:val="00C364CB"/>
    <w:rsid w:val="00C41865"/>
    <w:rsid w:val="00C43DC5"/>
    <w:rsid w:val="00C4465B"/>
    <w:rsid w:val="00C53B88"/>
    <w:rsid w:val="00C60EA5"/>
    <w:rsid w:val="00C6180B"/>
    <w:rsid w:val="00C66CC9"/>
    <w:rsid w:val="00C70A4F"/>
    <w:rsid w:val="00C73F01"/>
    <w:rsid w:val="00C757E7"/>
    <w:rsid w:val="00C77E94"/>
    <w:rsid w:val="00C81102"/>
    <w:rsid w:val="00C84CBB"/>
    <w:rsid w:val="00C92A86"/>
    <w:rsid w:val="00C960D1"/>
    <w:rsid w:val="00CA31A9"/>
    <w:rsid w:val="00CA36A5"/>
    <w:rsid w:val="00CA3F48"/>
    <w:rsid w:val="00CA3F8F"/>
    <w:rsid w:val="00CA600F"/>
    <w:rsid w:val="00CA6DEF"/>
    <w:rsid w:val="00CC4E31"/>
    <w:rsid w:val="00CD3CE7"/>
    <w:rsid w:val="00CD5FF4"/>
    <w:rsid w:val="00CD7AFC"/>
    <w:rsid w:val="00CE048D"/>
    <w:rsid w:val="00CE64CA"/>
    <w:rsid w:val="00CF06B1"/>
    <w:rsid w:val="00CF4A0D"/>
    <w:rsid w:val="00CF595F"/>
    <w:rsid w:val="00CF653B"/>
    <w:rsid w:val="00D040AA"/>
    <w:rsid w:val="00D14B33"/>
    <w:rsid w:val="00D2108B"/>
    <w:rsid w:val="00D2185F"/>
    <w:rsid w:val="00D262F7"/>
    <w:rsid w:val="00D30DCF"/>
    <w:rsid w:val="00D4335F"/>
    <w:rsid w:val="00D436F3"/>
    <w:rsid w:val="00D44CFD"/>
    <w:rsid w:val="00D56511"/>
    <w:rsid w:val="00D578DE"/>
    <w:rsid w:val="00D6258E"/>
    <w:rsid w:val="00D63E82"/>
    <w:rsid w:val="00D63F11"/>
    <w:rsid w:val="00D65A49"/>
    <w:rsid w:val="00D67512"/>
    <w:rsid w:val="00D70FAB"/>
    <w:rsid w:val="00D756D8"/>
    <w:rsid w:val="00D808F1"/>
    <w:rsid w:val="00D8639D"/>
    <w:rsid w:val="00D872F6"/>
    <w:rsid w:val="00D87901"/>
    <w:rsid w:val="00D90C81"/>
    <w:rsid w:val="00D92A21"/>
    <w:rsid w:val="00D92C02"/>
    <w:rsid w:val="00DA0502"/>
    <w:rsid w:val="00DA1E45"/>
    <w:rsid w:val="00DA2A50"/>
    <w:rsid w:val="00DB1EF9"/>
    <w:rsid w:val="00DC6EEE"/>
    <w:rsid w:val="00DD05E5"/>
    <w:rsid w:val="00DD5DEB"/>
    <w:rsid w:val="00DD7879"/>
    <w:rsid w:val="00DE00C0"/>
    <w:rsid w:val="00DE0CEF"/>
    <w:rsid w:val="00DE5096"/>
    <w:rsid w:val="00DE7630"/>
    <w:rsid w:val="00DF5B90"/>
    <w:rsid w:val="00E02B5E"/>
    <w:rsid w:val="00E052D3"/>
    <w:rsid w:val="00E0538C"/>
    <w:rsid w:val="00E1642E"/>
    <w:rsid w:val="00E20903"/>
    <w:rsid w:val="00E21512"/>
    <w:rsid w:val="00E24C94"/>
    <w:rsid w:val="00E25F14"/>
    <w:rsid w:val="00E30588"/>
    <w:rsid w:val="00E31756"/>
    <w:rsid w:val="00E31C8B"/>
    <w:rsid w:val="00E3608D"/>
    <w:rsid w:val="00E41528"/>
    <w:rsid w:val="00E424CE"/>
    <w:rsid w:val="00E5785B"/>
    <w:rsid w:val="00E61AD4"/>
    <w:rsid w:val="00E644B6"/>
    <w:rsid w:val="00E725D6"/>
    <w:rsid w:val="00E86118"/>
    <w:rsid w:val="00E907ED"/>
    <w:rsid w:val="00E92E79"/>
    <w:rsid w:val="00E945DE"/>
    <w:rsid w:val="00E94F1D"/>
    <w:rsid w:val="00E97E84"/>
    <w:rsid w:val="00EA099C"/>
    <w:rsid w:val="00EA39F2"/>
    <w:rsid w:val="00EA433E"/>
    <w:rsid w:val="00EB3E27"/>
    <w:rsid w:val="00EC5B55"/>
    <w:rsid w:val="00EC7B13"/>
    <w:rsid w:val="00ED388A"/>
    <w:rsid w:val="00ED7F15"/>
    <w:rsid w:val="00EE6D2F"/>
    <w:rsid w:val="00EF12C9"/>
    <w:rsid w:val="00EF2EBE"/>
    <w:rsid w:val="00EF3ADB"/>
    <w:rsid w:val="00EF7EFB"/>
    <w:rsid w:val="00F005E5"/>
    <w:rsid w:val="00F00855"/>
    <w:rsid w:val="00F05619"/>
    <w:rsid w:val="00F137C3"/>
    <w:rsid w:val="00F16EA5"/>
    <w:rsid w:val="00F17949"/>
    <w:rsid w:val="00F27244"/>
    <w:rsid w:val="00F304A3"/>
    <w:rsid w:val="00F30D3A"/>
    <w:rsid w:val="00F33909"/>
    <w:rsid w:val="00F36AB4"/>
    <w:rsid w:val="00F45309"/>
    <w:rsid w:val="00F54286"/>
    <w:rsid w:val="00F553EF"/>
    <w:rsid w:val="00F70127"/>
    <w:rsid w:val="00F70612"/>
    <w:rsid w:val="00F720D6"/>
    <w:rsid w:val="00F72CFB"/>
    <w:rsid w:val="00F74A7B"/>
    <w:rsid w:val="00F76D08"/>
    <w:rsid w:val="00F83016"/>
    <w:rsid w:val="00F85586"/>
    <w:rsid w:val="00F87651"/>
    <w:rsid w:val="00F95BC8"/>
    <w:rsid w:val="00FA00D8"/>
    <w:rsid w:val="00FA29D4"/>
    <w:rsid w:val="00FB1A21"/>
    <w:rsid w:val="00FB7B99"/>
    <w:rsid w:val="00FC163F"/>
    <w:rsid w:val="00FC5B3F"/>
    <w:rsid w:val="00FD0974"/>
    <w:rsid w:val="00FD2569"/>
    <w:rsid w:val="00FD698F"/>
    <w:rsid w:val="00FE47B4"/>
    <w:rsid w:val="00FF069E"/>
    <w:rsid w:val="00FF3DA3"/>
    <w:rsid w:val="00FF656F"/>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eaeaea"/>
    </o:shapedefaults>
    <o:shapelayout v:ext="edit">
      <o:idmap v:ext="edit" data="1"/>
    </o:shapelayout>
  </w:shapeDefaults>
  <w:doNotEmbedSmartTags/>
  <w:decimalSymbol w:val="."/>
  <w:listSeparator w:val=","/>
  <w14:docId w14:val="474FA9E0"/>
  <w15:docId w15:val="{797AF0E9-CEC8-4551-8DC4-1FFA9C5B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BA8"/>
    <w:rPr>
      <w:sz w:val="24"/>
      <w:szCs w:val="24"/>
      <w:lang w:val="en-GB"/>
    </w:rPr>
  </w:style>
  <w:style w:type="paragraph" w:styleId="Heading1">
    <w:name w:val="heading 1"/>
    <w:basedOn w:val="Normal"/>
    <w:next w:val="Normal"/>
    <w:autoRedefine/>
    <w:qFormat/>
    <w:rsid w:val="00153E87"/>
    <w:pPr>
      <w:keepNext/>
      <w:overflowPunct w:val="0"/>
      <w:autoSpaceDE w:val="0"/>
      <w:autoSpaceDN w:val="0"/>
      <w:adjustRightInd w:val="0"/>
      <w:textAlignment w:val="baseline"/>
      <w:outlineLvl w:val="0"/>
    </w:pPr>
    <w:rPr>
      <w:rFonts w:ascii="Arial" w:hAnsi="Arial" w:cs="Arial"/>
      <w:b/>
      <w:bCs/>
      <w:sz w:val="32"/>
      <w:szCs w:val="32"/>
    </w:rPr>
  </w:style>
  <w:style w:type="paragraph" w:styleId="Heading2">
    <w:name w:val="heading 2"/>
    <w:basedOn w:val="Normal"/>
    <w:next w:val="Normal"/>
    <w:qFormat/>
    <w:rsid w:val="006B4079"/>
    <w:pPr>
      <w:keepNext/>
      <w:overflowPunct w:val="0"/>
      <w:autoSpaceDE w:val="0"/>
      <w:autoSpaceDN w:val="0"/>
      <w:adjustRightInd w:val="0"/>
      <w:textAlignment w:val="baseline"/>
      <w:outlineLvl w:val="1"/>
    </w:pPr>
    <w:rPr>
      <w:b/>
      <w:bCs/>
      <w:sz w:val="32"/>
      <w:szCs w:val="32"/>
      <w:lang w:val="en-CA"/>
    </w:rPr>
  </w:style>
  <w:style w:type="paragraph" w:styleId="Heading3">
    <w:name w:val="heading 3"/>
    <w:basedOn w:val="Normal"/>
    <w:next w:val="Normal"/>
    <w:qFormat/>
    <w:rsid w:val="006B4079"/>
    <w:pPr>
      <w:autoSpaceDE w:val="0"/>
      <w:autoSpaceDN w:val="0"/>
      <w:adjustRightInd w:val="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4079"/>
    <w:pPr>
      <w:overflowPunct w:val="0"/>
      <w:autoSpaceDE w:val="0"/>
      <w:autoSpaceDN w:val="0"/>
      <w:adjustRightInd w:val="0"/>
      <w:textAlignment w:val="baseline"/>
    </w:pPr>
    <w:rPr>
      <w:lang w:val="en-CA"/>
    </w:rPr>
  </w:style>
  <w:style w:type="character" w:styleId="Hyperlink">
    <w:name w:val="Hyperlink"/>
    <w:rsid w:val="006B4079"/>
    <w:rPr>
      <w:color w:val="0000FF"/>
      <w:sz w:val="22"/>
      <w:szCs w:val="22"/>
      <w:u w:val="single"/>
    </w:rPr>
  </w:style>
  <w:style w:type="paragraph" w:styleId="NormalWeb">
    <w:name w:val="Normal (Web)"/>
    <w:basedOn w:val="Normal"/>
    <w:rsid w:val="006B4079"/>
    <w:pPr>
      <w:spacing w:before="100" w:beforeAutospacing="1" w:after="100" w:afterAutospacing="1"/>
    </w:pPr>
    <w:rPr>
      <w:color w:val="000000"/>
    </w:rPr>
  </w:style>
  <w:style w:type="paragraph" w:styleId="Header">
    <w:name w:val="header"/>
    <w:basedOn w:val="Normal"/>
    <w:link w:val="HeaderChar"/>
    <w:rsid w:val="006B4079"/>
    <w:pPr>
      <w:tabs>
        <w:tab w:val="center" w:pos="4320"/>
        <w:tab w:val="right" w:pos="8640"/>
      </w:tabs>
      <w:overflowPunct w:val="0"/>
      <w:autoSpaceDE w:val="0"/>
      <w:autoSpaceDN w:val="0"/>
      <w:adjustRightInd w:val="0"/>
      <w:textAlignment w:val="baseline"/>
    </w:pPr>
    <w:rPr>
      <w:lang w:val="en-CA"/>
    </w:rPr>
  </w:style>
  <w:style w:type="paragraph" w:styleId="Footer">
    <w:name w:val="footer"/>
    <w:basedOn w:val="Normal"/>
    <w:link w:val="FooterChar"/>
    <w:uiPriority w:val="99"/>
    <w:rsid w:val="006B4079"/>
    <w:pPr>
      <w:tabs>
        <w:tab w:val="center" w:pos="4320"/>
        <w:tab w:val="right" w:pos="8640"/>
      </w:tabs>
      <w:overflowPunct w:val="0"/>
      <w:autoSpaceDE w:val="0"/>
      <w:autoSpaceDN w:val="0"/>
      <w:adjustRightInd w:val="0"/>
      <w:textAlignment w:val="baseline"/>
    </w:pPr>
    <w:rPr>
      <w:lang w:val="en-CA"/>
    </w:rPr>
  </w:style>
  <w:style w:type="character" w:styleId="PageNumber">
    <w:name w:val="page number"/>
    <w:basedOn w:val="DefaultParagraphFont"/>
    <w:rsid w:val="006B4079"/>
  </w:style>
  <w:style w:type="paragraph" w:customStyle="1" w:styleId="FigureTitle">
    <w:name w:val="Figure Title"/>
    <w:basedOn w:val="BodyText"/>
    <w:rsid w:val="006B4079"/>
    <w:pPr>
      <w:jc w:val="center"/>
    </w:pPr>
    <w:rPr>
      <w:b/>
      <w:bCs/>
      <w:lang w:val="en-US"/>
    </w:rPr>
  </w:style>
  <w:style w:type="paragraph" w:customStyle="1" w:styleId="IntroBlurb">
    <w:name w:val="Intro Blurb"/>
    <w:basedOn w:val="BodyText"/>
    <w:rsid w:val="006B4079"/>
    <w:pPr>
      <w:jc w:val="both"/>
    </w:pPr>
    <w:rPr>
      <w:b/>
      <w:bCs/>
      <w:i/>
      <w:iCs/>
      <w:sz w:val="28"/>
      <w:szCs w:val="28"/>
    </w:rPr>
  </w:style>
  <w:style w:type="paragraph" w:customStyle="1" w:styleId="Module">
    <w:name w:val="Module"/>
    <w:basedOn w:val="Normal"/>
    <w:rsid w:val="006B4079"/>
    <w:pPr>
      <w:overflowPunct w:val="0"/>
      <w:autoSpaceDE w:val="0"/>
      <w:autoSpaceDN w:val="0"/>
      <w:adjustRightInd w:val="0"/>
      <w:jc w:val="center"/>
      <w:textAlignment w:val="baseline"/>
    </w:pPr>
    <w:rPr>
      <w:sz w:val="36"/>
      <w:szCs w:val="36"/>
      <w:lang w:val="en-CA"/>
    </w:rPr>
  </w:style>
  <w:style w:type="paragraph" w:customStyle="1" w:styleId="Module0">
    <w:name w:val="Module #"/>
    <w:basedOn w:val="Normal"/>
    <w:rsid w:val="006B4079"/>
    <w:pPr>
      <w:overflowPunct w:val="0"/>
      <w:autoSpaceDE w:val="0"/>
      <w:autoSpaceDN w:val="0"/>
      <w:adjustRightInd w:val="0"/>
      <w:jc w:val="center"/>
      <w:textAlignment w:val="baseline"/>
    </w:pPr>
    <w:rPr>
      <w:sz w:val="120"/>
      <w:szCs w:val="120"/>
      <w:lang w:val="en-CA"/>
    </w:rPr>
  </w:style>
  <w:style w:type="paragraph" w:customStyle="1" w:styleId="TextBox">
    <w:name w:val="Text Box"/>
    <w:basedOn w:val="Normal"/>
    <w:rsid w:val="006B4079"/>
    <w:pPr>
      <w:pBdr>
        <w:top w:val="single" w:sz="4" w:space="1" w:color="auto"/>
        <w:left w:val="single" w:sz="4" w:space="4" w:color="auto"/>
        <w:bottom w:val="single" w:sz="4" w:space="1" w:color="auto"/>
        <w:right w:val="single" w:sz="4" w:space="4" w:color="auto"/>
      </w:pBdr>
      <w:autoSpaceDE w:val="0"/>
      <w:autoSpaceDN w:val="0"/>
      <w:adjustRightInd w:val="0"/>
      <w:jc w:val="both"/>
    </w:pPr>
    <w:rPr>
      <w:sz w:val="22"/>
      <w:szCs w:val="22"/>
    </w:rPr>
  </w:style>
  <w:style w:type="paragraph" w:styleId="TOC1">
    <w:name w:val="toc 1"/>
    <w:basedOn w:val="Normal"/>
    <w:next w:val="Normal"/>
    <w:autoRedefine/>
    <w:semiHidden/>
    <w:rsid w:val="0071708C"/>
    <w:pPr>
      <w:overflowPunct w:val="0"/>
      <w:autoSpaceDE w:val="0"/>
      <w:autoSpaceDN w:val="0"/>
      <w:adjustRightInd w:val="0"/>
      <w:spacing w:before="120"/>
      <w:textAlignment w:val="baseline"/>
    </w:pPr>
    <w:rPr>
      <w:rFonts w:ascii="Arial" w:hAnsi="Arial" w:cs="Arial"/>
      <w:b/>
      <w:bCs/>
      <w:smallCaps/>
      <w:sz w:val="28"/>
      <w:szCs w:val="28"/>
      <w:lang w:val="en-CA"/>
    </w:rPr>
  </w:style>
  <w:style w:type="paragraph" w:styleId="TOC2">
    <w:name w:val="toc 2"/>
    <w:basedOn w:val="Normal"/>
    <w:next w:val="Normal"/>
    <w:autoRedefine/>
    <w:semiHidden/>
    <w:rsid w:val="007121AF"/>
    <w:pPr>
      <w:tabs>
        <w:tab w:val="right" w:leader="dot" w:pos="8630"/>
      </w:tabs>
      <w:overflowPunct w:val="0"/>
      <w:autoSpaceDE w:val="0"/>
      <w:autoSpaceDN w:val="0"/>
      <w:adjustRightInd w:val="0"/>
      <w:ind w:left="748" w:hanging="388"/>
      <w:textAlignment w:val="baseline"/>
    </w:pPr>
    <w:rPr>
      <w:rFonts w:ascii="Arial" w:hAnsi="Arial" w:cs="Arial"/>
      <w:b/>
      <w:bCs/>
      <w:noProof/>
      <w:lang w:val="en-CA"/>
    </w:rPr>
  </w:style>
  <w:style w:type="paragraph" w:styleId="TOC3">
    <w:name w:val="toc 3"/>
    <w:basedOn w:val="Normal"/>
    <w:next w:val="Normal"/>
    <w:autoRedefine/>
    <w:semiHidden/>
    <w:rsid w:val="0071708C"/>
    <w:pPr>
      <w:tabs>
        <w:tab w:val="right" w:leader="dot" w:pos="8630"/>
      </w:tabs>
      <w:overflowPunct w:val="0"/>
      <w:autoSpaceDE w:val="0"/>
      <w:autoSpaceDN w:val="0"/>
      <w:adjustRightInd w:val="0"/>
      <w:ind w:left="648"/>
      <w:textAlignment w:val="baseline"/>
    </w:pPr>
    <w:rPr>
      <w:rFonts w:ascii="Arial" w:hAnsi="Arial" w:cs="Arial"/>
      <w:b/>
      <w:bCs/>
      <w:noProof/>
      <w:lang w:val="en-CA"/>
    </w:rPr>
  </w:style>
  <w:style w:type="paragraph" w:styleId="BodyText2">
    <w:name w:val="Body Text 2"/>
    <w:basedOn w:val="Normal"/>
    <w:rsid w:val="006B4079"/>
    <w:pPr>
      <w:overflowPunct w:val="0"/>
      <w:autoSpaceDE w:val="0"/>
      <w:autoSpaceDN w:val="0"/>
      <w:adjustRightInd w:val="0"/>
      <w:textAlignment w:val="baseline"/>
    </w:pPr>
    <w:rPr>
      <w:sz w:val="20"/>
      <w:szCs w:val="20"/>
      <w:lang w:val="en-CA"/>
    </w:rPr>
  </w:style>
  <w:style w:type="character" w:styleId="FollowedHyperlink">
    <w:name w:val="FollowedHyperlink"/>
    <w:rsid w:val="00AE0A3D"/>
    <w:rPr>
      <w:color w:val="800080"/>
      <w:u w:val="single"/>
    </w:rPr>
  </w:style>
  <w:style w:type="character" w:customStyle="1" w:styleId="BodyTextChar">
    <w:name w:val="Body Text Char"/>
    <w:link w:val="BodyText"/>
    <w:locked/>
    <w:rsid w:val="00B054E3"/>
    <w:rPr>
      <w:sz w:val="24"/>
      <w:szCs w:val="24"/>
      <w:lang w:val="en-CA" w:eastAsia="en-US"/>
    </w:rPr>
  </w:style>
  <w:style w:type="character" w:styleId="LineNumber">
    <w:name w:val="line number"/>
    <w:basedOn w:val="DefaultParagraphFont"/>
    <w:rsid w:val="00031418"/>
  </w:style>
  <w:style w:type="paragraph" w:styleId="FootnoteText">
    <w:name w:val="footnote text"/>
    <w:basedOn w:val="Normal"/>
    <w:semiHidden/>
    <w:rsid w:val="00031418"/>
    <w:rPr>
      <w:sz w:val="20"/>
      <w:szCs w:val="20"/>
    </w:rPr>
  </w:style>
  <w:style w:type="character" w:styleId="FootnoteReference">
    <w:name w:val="footnote reference"/>
    <w:semiHidden/>
    <w:rsid w:val="00031418"/>
    <w:rPr>
      <w:vertAlign w:val="superscript"/>
    </w:rPr>
  </w:style>
  <w:style w:type="character" w:customStyle="1" w:styleId="articleheadline">
    <w:name w:val="articleheadline"/>
    <w:basedOn w:val="DefaultParagraphFont"/>
    <w:rsid w:val="00535241"/>
  </w:style>
  <w:style w:type="table" w:styleId="TableWeb1">
    <w:name w:val="Table Web 1"/>
    <w:basedOn w:val="TableNormal"/>
    <w:rsid w:val="00E644B6"/>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text">
    <w:name w:val="Table text"/>
    <w:basedOn w:val="BodyText"/>
    <w:rsid w:val="00E644B6"/>
    <w:rPr>
      <w:sz w:val="22"/>
      <w:szCs w:val="22"/>
    </w:rPr>
  </w:style>
  <w:style w:type="table" w:styleId="TableGrid">
    <w:name w:val="Table Grid"/>
    <w:basedOn w:val="TableNormal"/>
    <w:rsid w:val="00A6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F656F"/>
    <w:pPr>
      <w:shd w:val="clear" w:color="auto" w:fill="000080"/>
    </w:pPr>
    <w:rPr>
      <w:rFonts w:ascii="Tahoma" w:hAnsi="Tahoma" w:cs="Tahoma"/>
      <w:sz w:val="20"/>
      <w:szCs w:val="20"/>
    </w:rPr>
  </w:style>
  <w:style w:type="paragraph" w:customStyle="1" w:styleId="Default">
    <w:name w:val="Default"/>
    <w:rsid w:val="005436A2"/>
    <w:pPr>
      <w:autoSpaceDE w:val="0"/>
      <w:autoSpaceDN w:val="0"/>
      <w:adjustRightInd w:val="0"/>
    </w:pPr>
    <w:rPr>
      <w:color w:val="000000"/>
      <w:sz w:val="24"/>
      <w:szCs w:val="24"/>
    </w:rPr>
  </w:style>
  <w:style w:type="character" w:styleId="Strong">
    <w:name w:val="Strong"/>
    <w:qFormat/>
    <w:rsid w:val="005F2C6B"/>
    <w:rPr>
      <w:b/>
      <w:bCs/>
    </w:rPr>
  </w:style>
  <w:style w:type="character" w:styleId="Emphasis">
    <w:name w:val="Emphasis"/>
    <w:qFormat/>
    <w:rsid w:val="005F2C6B"/>
    <w:rPr>
      <w:i/>
      <w:iCs/>
    </w:rPr>
  </w:style>
  <w:style w:type="paragraph" w:styleId="BodyTextIndent">
    <w:name w:val="Body Text Indent"/>
    <w:basedOn w:val="Normal"/>
    <w:rsid w:val="00337516"/>
    <w:pPr>
      <w:spacing w:after="120"/>
      <w:ind w:left="283"/>
    </w:pPr>
  </w:style>
  <w:style w:type="character" w:styleId="CommentReference">
    <w:name w:val="annotation reference"/>
    <w:semiHidden/>
    <w:rsid w:val="005E6F6D"/>
    <w:rPr>
      <w:sz w:val="16"/>
      <w:szCs w:val="16"/>
    </w:rPr>
  </w:style>
  <w:style w:type="paragraph" w:styleId="CommentText">
    <w:name w:val="annotation text"/>
    <w:basedOn w:val="Normal"/>
    <w:semiHidden/>
    <w:rsid w:val="005E6F6D"/>
    <w:rPr>
      <w:sz w:val="20"/>
      <w:szCs w:val="20"/>
    </w:rPr>
  </w:style>
  <w:style w:type="paragraph" w:styleId="CommentSubject">
    <w:name w:val="annotation subject"/>
    <w:basedOn w:val="CommentText"/>
    <w:next w:val="CommentText"/>
    <w:semiHidden/>
    <w:rsid w:val="005E6F6D"/>
    <w:rPr>
      <w:b/>
      <w:bCs/>
    </w:rPr>
  </w:style>
  <w:style w:type="paragraph" w:styleId="BalloonText">
    <w:name w:val="Balloon Text"/>
    <w:basedOn w:val="Normal"/>
    <w:semiHidden/>
    <w:rsid w:val="005E6F6D"/>
    <w:rPr>
      <w:rFonts w:ascii="Tahoma" w:hAnsi="Tahoma" w:cs="Tahoma"/>
      <w:sz w:val="16"/>
      <w:szCs w:val="16"/>
    </w:rPr>
  </w:style>
  <w:style w:type="paragraph" w:customStyle="1" w:styleId="FactsheetHeading">
    <w:name w:val="Factsheet_Heading"/>
    <w:basedOn w:val="Normal"/>
    <w:rsid w:val="0006684A"/>
    <w:pPr>
      <w:autoSpaceDE w:val="0"/>
      <w:autoSpaceDN w:val="0"/>
      <w:adjustRightInd w:val="0"/>
      <w:spacing w:before="120" w:after="120"/>
    </w:pPr>
    <w:rPr>
      <w:rFonts w:ascii="Arial" w:hAnsi="Arial" w:cs="Arial"/>
      <w:b/>
      <w:sz w:val="21"/>
      <w:szCs w:val="21"/>
      <w:lang w:eastAsia="en-GB"/>
    </w:rPr>
  </w:style>
  <w:style w:type="paragraph" w:customStyle="1" w:styleId="Factsheetnumberedlist">
    <w:name w:val="Factsheet_numbered list"/>
    <w:basedOn w:val="Normal"/>
    <w:autoRedefine/>
    <w:rsid w:val="000107B2"/>
    <w:pPr>
      <w:numPr>
        <w:numId w:val="3"/>
      </w:numPr>
      <w:spacing w:before="120" w:after="120"/>
      <w:jc w:val="both"/>
    </w:pPr>
    <w:rPr>
      <w:rFonts w:ascii="Arial" w:hAnsi="Arial" w:cs="Arial"/>
      <w:sz w:val="20"/>
      <w:szCs w:val="20"/>
      <w:lang w:val="en-US"/>
    </w:rPr>
  </w:style>
  <w:style w:type="paragraph" w:customStyle="1" w:styleId="FactsheetColumn">
    <w:name w:val="Factsheet_Column"/>
    <w:basedOn w:val="Normal"/>
    <w:rsid w:val="006D709A"/>
    <w:pPr>
      <w:autoSpaceDE w:val="0"/>
      <w:autoSpaceDN w:val="0"/>
      <w:adjustRightInd w:val="0"/>
      <w:jc w:val="both"/>
    </w:pPr>
    <w:rPr>
      <w:rFonts w:ascii="Arial" w:hAnsi="Arial" w:cs="Arial"/>
      <w:color w:val="000000"/>
      <w:sz w:val="20"/>
      <w:szCs w:val="20"/>
    </w:rPr>
  </w:style>
  <w:style w:type="paragraph" w:customStyle="1" w:styleId="Factsheetbullet">
    <w:name w:val="Factsheet_bullet"/>
    <w:basedOn w:val="Normal"/>
    <w:rsid w:val="000107B2"/>
    <w:pPr>
      <w:numPr>
        <w:numId w:val="1"/>
      </w:numPr>
    </w:pPr>
    <w:rPr>
      <w:rFonts w:ascii="Arial" w:hAnsi="Arial" w:cs="Arial"/>
      <w:sz w:val="20"/>
      <w:szCs w:val="20"/>
    </w:rPr>
  </w:style>
  <w:style w:type="paragraph" w:customStyle="1" w:styleId="Factsheetnote">
    <w:name w:val="Factsheet_note"/>
    <w:basedOn w:val="Normal"/>
    <w:autoRedefine/>
    <w:rsid w:val="0035164F"/>
    <w:pPr>
      <w:spacing w:before="60"/>
    </w:pPr>
    <w:rPr>
      <w:rFonts w:ascii="Arial" w:hAnsi="Arial" w:cs="Arial"/>
      <w:sz w:val="16"/>
      <w:szCs w:val="16"/>
    </w:rPr>
  </w:style>
  <w:style w:type="paragraph" w:customStyle="1" w:styleId="Factsheettabledata">
    <w:name w:val="Factsheet_table data"/>
    <w:basedOn w:val="Normal"/>
    <w:rsid w:val="006C4DE4"/>
    <w:pPr>
      <w:jc w:val="center"/>
    </w:pPr>
    <w:rPr>
      <w:rFonts w:ascii="Arial" w:hAnsi="Arial" w:cs="Arial"/>
      <w:sz w:val="18"/>
      <w:szCs w:val="18"/>
    </w:rPr>
  </w:style>
  <w:style w:type="paragraph" w:customStyle="1" w:styleId="Factsheettableheader">
    <w:name w:val="Factsheet_table header"/>
    <w:basedOn w:val="Normal"/>
    <w:rsid w:val="006C4DE4"/>
    <w:pPr>
      <w:jc w:val="center"/>
    </w:pPr>
    <w:rPr>
      <w:rFonts w:ascii="Arial" w:hAnsi="Arial" w:cs="Arial"/>
      <w:b/>
      <w:sz w:val="18"/>
      <w:szCs w:val="18"/>
    </w:rPr>
  </w:style>
  <w:style w:type="paragraph" w:customStyle="1" w:styleId="Factsheettablebullet">
    <w:name w:val="Factsheet_table bullet"/>
    <w:basedOn w:val="Normal"/>
    <w:rsid w:val="006C4DE4"/>
    <w:pPr>
      <w:numPr>
        <w:numId w:val="2"/>
      </w:numPr>
    </w:pPr>
    <w:rPr>
      <w:rFonts w:ascii="Arial" w:hAnsi="Arial" w:cs="Arial"/>
      <w:sz w:val="18"/>
      <w:szCs w:val="18"/>
    </w:rPr>
  </w:style>
  <w:style w:type="paragraph" w:customStyle="1" w:styleId="StyleFactsheetHeading11pt">
    <w:name w:val="Style Factsheet_Heading + 11 pt"/>
    <w:basedOn w:val="FactsheetHeading"/>
    <w:rsid w:val="0035164F"/>
    <w:pPr>
      <w:spacing w:before="240"/>
    </w:pPr>
    <w:rPr>
      <w:bCs/>
      <w:sz w:val="22"/>
    </w:rPr>
  </w:style>
  <w:style w:type="paragraph" w:customStyle="1" w:styleId="FactsheetReference">
    <w:name w:val="Factsheet_Reference"/>
    <w:basedOn w:val="Normal"/>
    <w:autoRedefine/>
    <w:rsid w:val="00BC61DF"/>
    <w:pPr>
      <w:keepNext/>
      <w:keepLines/>
    </w:pPr>
    <w:rPr>
      <w:rFonts w:ascii="Arial" w:hAnsi="Arial"/>
      <w:sz w:val="20"/>
      <w:szCs w:val="20"/>
      <w:lang w:val="en-US"/>
    </w:rPr>
  </w:style>
  <w:style w:type="character" w:customStyle="1" w:styleId="FooterChar">
    <w:name w:val="Footer Char"/>
    <w:link w:val="Footer"/>
    <w:uiPriority w:val="99"/>
    <w:rsid w:val="00E3608D"/>
    <w:rPr>
      <w:sz w:val="24"/>
      <w:szCs w:val="24"/>
      <w:lang w:val="en-CA"/>
    </w:rPr>
  </w:style>
  <w:style w:type="paragraph" w:styleId="ListParagraph">
    <w:name w:val="List Paragraph"/>
    <w:basedOn w:val="Normal"/>
    <w:uiPriority w:val="34"/>
    <w:qFormat/>
    <w:rsid w:val="00EA099C"/>
    <w:pPr>
      <w:ind w:left="720"/>
      <w:contextualSpacing/>
    </w:pPr>
  </w:style>
  <w:style w:type="character" w:customStyle="1" w:styleId="citation-abbreviation3">
    <w:name w:val="citation-abbreviation3"/>
    <w:basedOn w:val="DefaultParagraphFont"/>
    <w:rsid w:val="00CA600F"/>
  </w:style>
  <w:style w:type="character" w:customStyle="1" w:styleId="citation-volume">
    <w:name w:val="citation-volume"/>
    <w:basedOn w:val="DefaultParagraphFont"/>
    <w:rsid w:val="00CA600F"/>
  </w:style>
  <w:style w:type="character" w:customStyle="1" w:styleId="citation-issue">
    <w:name w:val="citation-issue"/>
    <w:basedOn w:val="DefaultParagraphFont"/>
    <w:rsid w:val="00CA600F"/>
  </w:style>
  <w:style w:type="character" w:customStyle="1" w:styleId="citation-flpages">
    <w:name w:val="citation-flpages"/>
    <w:basedOn w:val="DefaultParagraphFont"/>
    <w:rsid w:val="00CA600F"/>
  </w:style>
  <w:style w:type="character" w:customStyle="1" w:styleId="ref-journal1">
    <w:name w:val="ref-journal1"/>
    <w:rsid w:val="00CA600F"/>
    <w:rPr>
      <w:i/>
      <w:iCs/>
    </w:rPr>
  </w:style>
  <w:style w:type="character" w:customStyle="1" w:styleId="ref-vol1">
    <w:name w:val="ref-vol1"/>
    <w:rsid w:val="00CA600F"/>
    <w:rPr>
      <w:b/>
      <w:bCs/>
    </w:rPr>
  </w:style>
  <w:style w:type="paragraph" w:styleId="Revision">
    <w:name w:val="Revision"/>
    <w:hidden/>
    <w:uiPriority w:val="99"/>
    <w:semiHidden/>
    <w:rsid w:val="00341C05"/>
    <w:rPr>
      <w:sz w:val="24"/>
      <w:szCs w:val="24"/>
      <w:lang w:val="en-GB"/>
    </w:rPr>
  </w:style>
  <w:style w:type="character" w:customStyle="1" w:styleId="citationweb">
    <w:name w:val="citation web"/>
    <w:basedOn w:val="DefaultParagraphFont"/>
    <w:rsid w:val="00637EBE"/>
  </w:style>
  <w:style w:type="character" w:customStyle="1" w:styleId="HeaderChar">
    <w:name w:val="Header Char"/>
    <w:basedOn w:val="DefaultParagraphFont"/>
    <w:link w:val="Header"/>
    <w:rsid w:val="005D602B"/>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8227">
      <w:bodyDiv w:val="1"/>
      <w:marLeft w:val="0"/>
      <w:marRight w:val="0"/>
      <w:marTop w:val="0"/>
      <w:marBottom w:val="0"/>
      <w:divBdr>
        <w:top w:val="none" w:sz="0" w:space="0" w:color="auto"/>
        <w:left w:val="none" w:sz="0" w:space="0" w:color="auto"/>
        <w:bottom w:val="none" w:sz="0" w:space="0" w:color="auto"/>
        <w:right w:val="none" w:sz="0" w:space="0" w:color="auto"/>
      </w:divBdr>
    </w:div>
    <w:div w:id="117840880">
      <w:bodyDiv w:val="1"/>
      <w:marLeft w:val="0"/>
      <w:marRight w:val="0"/>
      <w:marTop w:val="0"/>
      <w:marBottom w:val="0"/>
      <w:divBdr>
        <w:top w:val="none" w:sz="0" w:space="0" w:color="auto"/>
        <w:left w:val="none" w:sz="0" w:space="0" w:color="auto"/>
        <w:bottom w:val="none" w:sz="0" w:space="0" w:color="auto"/>
        <w:right w:val="none" w:sz="0" w:space="0" w:color="auto"/>
      </w:divBdr>
    </w:div>
    <w:div w:id="206726393">
      <w:bodyDiv w:val="1"/>
      <w:marLeft w:val="0"/>
      <w:marRight w:val="0"/>
      <w:marTop w:val="0"/>
      <w:marBottom w:val="0"/>
      <w:divBdr>
        <w:top w:val="none" w:sz="0" w:space="0" w:color="auto"/>
        <w:left w:val="none" w:sz="0" w:space="0" w:color="auto"/>
        <w:bottom w:val="none" w:sz="0" w:space="0" w:color="auto"/>
        <w:right w:val="none" w:sz="0" w:space="0" w:color="auto"/>
      </w:divBdr>
    </w:div>
    <w:div w:id="497159904">
      <w:bodyDiv w:val="1"/>
      <w:marLeft w:val="0"/>
      <w:marRight w:val="0"/>
      <w:marTop w:val="0"/>
      <w:marBottom w:val="0"/>
      <w:divBdr>
        <w:top w:val="none" w:sz="0" w:space="0" w:color="auto"/>
        <w:left w:val="none" w:sz="0" w:space="0" w:color="auto"/>
        <w:bottom w:val="none" w:sz="0" w:space="0" w:color="auto"/>
        <w:right w:val="none" w:sz="0" w:space="0" w:color="auto"/>
      </w:divBdr>
    </w:div>
    <w:div w:id="616524511">
      <w:bodyDiv w:val="1"/>
      <w:marLeft w:val="0"/>
      <w:marRight w:val="0"/>
      <w:marTop w:val="0"/>
      <w:marBottom w:val="0"/>
      <w:divBdr>
        <w:top w:val="none" w:sz="0" w:space="0" w:color="auto"/>
        <w:left w:val="none" w:sz="0" w:space="0" w:color="auto"/>
        <w:bottom w:val="none" w:sz="0" w:space="0" w:color="auto"/>
        <w:right w:val="none" w:sz="0" w:space="0" w:color="auto"/>
      </w:divBdr>
    </w:div>
    <w:div w:id="718818663">
      <w:bodyDiv w:val="1"/>
      <w:marLeft w:val="0"/>
      <w:marRight w:val="0"/>
      <w:marTop w:val="0"/>
      <w:marBottom w:val="0"/>
      <w:divBdr>
        <w:top w:val="none" w:sz="0" w:space="0" w:color="auto"/>
        <w:left w:val="none" w:sz="0" w:space="0" w:color="auto"/>
        <w:bottom w:val="none" w:sz="0" w:space="0" w:color="auto"/>
        <w:right w:val="none" w:sz="0" w:space="0" w:color="auto"/>
      </w:divBdr>
    </w:div>
    <w:div w:id="887228803">
      <w:bodyDiv w:val="1"/>
      <w:marLeft w:val="0"/>
      <w:marRight w:val="0"/>
      <w:marTop w:val="0"/>
      <w:marBottom w:val="0"/>
      <w:divBdr>
        <w:top w:val="none" w:sz="0" w:space="0" w:color="auto"/>
        <w:left w:val="none" w:sz="0" w:space="0" w:color="auto"/>
        <w:bottom w:val="none" w:sz="0" w:space="0" w:color="auto"/>
        <w:right w:val="none" w:sz="0" w:space="0" w:color="auto"/>
      </w:divBdr>
    </w:div>
    <w:div w:id="903219260">
      <w:bodyDiv w:val="1"/>
      <w:marLeft w:val="0"/>
      <w:marRight w:val="0"/>
      <w:marTop w:val="0"/>
      <w:marBottom w:val="0"/>
      <w:divBdr>
        <w:top w:val="none" w:sz="0" w:space="0" w:color="auto"/>
        <w:left w:val="none" w:sz="0" w:space="0" w:color="auto"/>
        <w:bottom w:val="none" w:sz="0" w:space="0" w:color="auto"/>
        <w:right w:val="none" w:sz="0" w:space="0" w:color="auto"/>
      </w:divBdr>
    </w:div>
    <w:div w:id="950010904">
      <w:bodyDiv w:val="1"/>
      <w:marLeft w:val="0"/>
      <w:marRight w:val="0"/>
      <w:marTop w:val="0"/>
      <w:marBottom w:val="0"/>
      <w:divBdr>
        <w:top w:val="none" w:sz="0" w:space="0" w:color="auto"/>
        <w:left w:val="none" w:sz="0" w:space="0" w:color="auto"/>
        <w:bottom w:val="none" w:sz="0" w:space="0" w:color="auto"/>
        <w:right w:val="none" w:sz="0" w:space="0" w:color="auto"/>
      </w:divBdr>
    </w:div>
    <w:div w:id="1036346470">
      <w:bodyDiv w:val="1"/>
      <w:marLeft w:val="0"/>
      <w:marRight w:val="0"/>
      <w:marTop w:val="0"/>
      <w:marBottom w:val="0"/>
      <w:divBdr>
        <w:top w:val="none" w:sz="0" w:space="0" w:color="auto"/>
        <w:left w:val="none" w:sz="0" w:space="0" w:color="auto"/>
        <w:bottom w:val="none" w:sz="0" w:space="0" w:color="auto"/>
        <w:right w:val="none" w:sz="0" w:space="0" w:color="auto"/>
      </w:divBdr>
    </w:div>
    <w:div w:id="1268006894">
      <w:bodyDiv w:val="1"/>
      <w:marLeft w:val="0"/>
      <w:marRight w:val="0"/>
      <w:marTop w:val="0"/>
      <w:marBottom w:val="0"/>
      <w:divBdr>
        <w:top w:val="none" w:sz="0" w:space="0" w:color="auto"/>
        <w:left w:val="none" w:sz="0" w:space="0" w:color="auto"/>
        <w:bottom w:val="none" w:sz="0" w:space="0" w:color="auto"/>
        <w:right w:val="none" w:sz="0" w:space="0" w:color="auto"/>
      </w:divBdr>
    </w:div>
    <w:div w:id="1279948129">
      <w:bodyDiv w:val="1"/>
      <w:marLeft w:val="0"/>
      <w:marRight w:val="0"/>
      <w:marTop w:val="0"/>
      <w:marBottom w:val="0"/>
      <w:divBdr>
        <w:top w:val="none" w:sz="0" w:space="0" w:color="auto"/>
        <w:left w:val="none" w:sz="0" w:space="0" w:color="auto"/>
        <w:bottom w:val="none" w:sz="0" w:space="0" w:color="auto"/>
        <w:right w:val="none" w:sz="0" w:space="0" w:color="auto"/>
      </w:divBdr>
    </w:div>
    <w:div w:id="1491092645">
      <w:bodyDiv w:val="1"/>
      <w:marLeft w:val="0"/>
      <w:marRight w:val="0"/>
      <w:marTop w:val="0"/>
      <w:marBottom w:val="0"/>
      <w:divBdr>
        <w:top w:val="none" w:sz="0" w:space="0" w:color="auto"/>
        <w:left w:val="none" w:sz="0" w:space="0" w:color="auto"/>
        <w:bottom w:val="none" w:sz="0" w:space="0" w:color="auto"/>
        <w:right w:val="none" w:sz="0" w:space="0" w:color="auto"/>
      </w:divBdr>
    </w:div>
    <w:div w:id="1494562858">
      <w:bodyDiv w:val="1"/>
      <w:marLeft w:val="0"/>
      <w:marRight w:val="0"/>
      <w:marTop w:val="0"/>
      <w:marBottom w:val="0"/>
      <w:divBdr>
        <w:top w:val="none" w:sz="0" w:space="0" w:color="auto"/>
        <w:left w:val="none" w:sz="0" w:space="0" w:color="auto"/>
        <w:bottom w:val="none" w:sz="0" w:space="0" w:color="auto"/>
        <w:right w:val="none" w:sz="0" w:space="0" w:color="auto"/>
      </w:divBdr>
      <w:divsChild>
        <w:div w:id="901721089">
          <w:marLeft w:val="0"/>
          <w:marRight w:val="0"/>
          <w:marTop w:val="0"/>
          <w:marBottom w:val="0"/>
          <w:divBdr>
            <w:top w:val="none" w:sz="0" w:space="0" w:color="auto"/>
            <w:left w:val="none" w:sz="0" w:space="0" w:color="auto"/>
            <w:bottom w:val="none" w:sz="0" w:space="0" w:color="auto"/>
            <w:right w:val="none" w:sz="0" w:space="0" w:color="auto"/>
          </w:divBdr>
          <w:divsChild>
            <w:div w:id="1075665060">
              <w:marLeft w:val="0"/>
              <w:marRight w:val="0"/>
              <w:marTop w:val="0"/>
              <w:marBottom w:val="0"/>
              <w:divBdr>
                <w:top w:val="none" w:sz="0" w:space="0" w:color="auto"/>
                <w:left w:val="none" w:sz="0" w:space="0" w:color="auto"/>
                <w:bottom w:val="none" w:sz="0" w:space="0" w:color="auto"/>
                <w:right w:val="none" w:sz="0" w:space="0" w:color="auto"/>
              </w:divBdr>
              <w:divsChild>
                <w:div w:id="512185980">
                  <w:marLeft w:val="0"/>
                  <w:marRight w:val="0"/>
                  <w:marTop w:val="0"/>
                  <w:marBottom w:val="0"/>
                  <w:divBdr>
                    <w:top w:val="none" w:sz="0" w:space="0" w:color="auto"/>
                    <w:left w:val="none" w:sz="0" w:space="0" w:color="auto"/>
                    <w:bottom w:val="none" w:sz="0" w:space="0" w:color="auto"/>
                    <w:right w:val="none" w:sz="0" w:space="0" w:color="auto"/>
                  </w:divBdr>
                  <w:divsChild>
                    <w:div w:id="2076850511">
                      <w:marLeft w:val="0"/>
                      <w:marRight w:val="0"/>
                      <w:marTop w:val="0"/>
                      <w:marBottom w:val="0"/>
                      <w:divBdr>
                        <w:top w:val="none" w:sz="0" w:space="0" w:color="auto"/>
                        <w:left w:val="none" w:sz="0" w:space="0" w:color="auto"/>
                        <w:bottom w:val="none" w:sz="0" w:space="0" w:color="auto"/>
                        <w:right w:val="none" w:sz="0" w:space="0" w:color="auto"/>
                      </w:divBdr>
                      <w:divsChild>
                        <w:div w:id="1416779451">
                          <w:marLeft w:val="0"/>
                          <w:marRight w:val="0"/>
                          <w:marTop w:val="0"/>
                          <w:marBottom w:val="0"/>
                          <w:divBdr>
                            <w:top w:val="none" w:sz="0" w:space="0" w:color="auto"/>
                            <w:left w:val="none" w:sz="0" w:space="0" w:color="auto"/>
                            <w:bottom w:val="none" w:sz="0" w:space="0" w:color="auto"/>
                            <w:right w:val="none" w:sz="0" w:space="0" w:color="auto"/>
                          </w:divBdr>
                        </w:div>
                        <w:div w:id="175046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2186">
                  <w:marLeft w:val="0"/>
                  <w:marRight w:val="0"/>
                  <w:marTop w:val="0"/>
                  <w:marBottom w:val="0"/>
                  <w:divBdr>
                    <w:top w:val="none" w:sz="0" w:space="0" w:color="auto"/>
                    <w:left w:val="none" w:sz="0" w:space="0" w:color="auto"/>
                    <w:bottom w:val="none" w:sz="0" w:space="0" w:color="auto"/>
                    <w:right w:val="none" w:sz="0" w:space="0" w:color="auto"/>
                  </w:divBdr>
                  <w:divsChild>
                    <w:div w:id="1463036930">
                      <w:marLeft w:val="0"/>
                      <w:marRight w:val="0"/>
                      <w:marTop w:val="0"/>
                      <w:marBottom w:val="0"/>
                      <w:divBdr>
                        <w:top w:val="none" w:sz="0" w:space="0" w:color="auto"/>
                        <w:left w:val="none" w:sz="0" w:space="0" w:color="auto"/>
                        <w:bottom w:val="none" w:sz="0" w:space="0" w:color="auto"/>
                        <w:right w:val="none" w:sz="0" w:space="0" w:color="auto"/>
                      </w:divBdr>
                      <w:divsChild>
                        <w:div w:id="19407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136625">
          <w:marLeft w:val="0"/>
          <w:marRight w:val="0"/>
          <w:marTop w:val="0"/>
          <w:marBottom w:val="0"/>
          <w:divBdr>
            <w:top w:val="none" w:sz="0" w:space="0" w:color="auto"/>
            <w:left w:val="none" w:sz="0" w:space="0" w:color="auto"/>
            <w:bottom w:val="none" w:sz="0" w:space="0" w:color="auto"/>
            <w:right w:val="none" w:sz="0" w:space="0" w:color="auto"/>
          </w:divBdr>
          <w:divsChild>
            <w:div w:id="10792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0007">
      <w:bodyDiv w:val="1"/>
      <w:marLeft w:val="0"/>
      <w:marRight w:val="0"/>
      <w:marTop w:val="0"/>
      <w:marBottom w:val="0"/>
      <w:divBdr>
        <w:top w:val="none" w:sz="0" w:space="0" w:color="auto"/>
        <w:left w:val="none" w:sz="0" w:space="0" w:color="auto"/>
        <w:bottom w:val="none" w:sz="0" w:space="0" w:color="auto"/>
        <w:right w:val="none" w:sz="0" w:space="0" w:color="auto"/>
      </w:divBdr>
    </w:div>
    <w:div w:id="1675835781">
      <w:bodyDiv w:val="1"/>
      <w:marLeft w:val="0"/>
      <w:marRight w:val="0"/>
      <w:marTop w:val="0"/>
      <w:marBottom w:val="0"/>
      <w:divBdr>
        <w:top w:val="none" w:sz="0" w:space="0" w:color="auto"/>
        <w:left w:val="none" w:sz="0" w:space="0" w:color="auto"/>
        <w:bottom w:val="none" w:sz="0" w:space="0" w:color="auto"/>
        <w:right w:val="none" w:sz="0" w:space="0" w:color="auto"/>
      </w:divBdr>
    </w:div>
    <w:div w:id="1676495883">
      <w:bodyDiv w:val="1"/>
      <w:marLeft w:val="0"/>
      <w:marRight w:val="0"/>
      <w:marTop w:val="0"/>
      <w:marBottom w:val="0"/>
      <w:divBdr>
        <w:top w:val="none" w:sz="0" w:space="0" w:color="auto"/>
        <w:left w:val="none" w:sz="0" w:space="0" w:color="auto"/>
        <w:bottom w:val="none" w:sz="0" w:space="0" w:color="auto"/>
        <w:right w:val="none" w:sz="0" w:space="0" w:color="auto"/>
      </w:divBdr>
    </w:div>
    <w:div w:id="1775444580">
      <w:bodyDiv w:val="1"/>
      <w:marLeft w:val="0"/>
      <w:marRight w:val="0"/>
      <w:marTop w:val="0"/>
      <w:marBottom w:val="0"/>
      <w:divBdr>
        <w:top w:val="none" w:sz="0" w:space="0" w:color="auto"/>
        <w:left w:val="none" w:sz="0" w:space="0" w:color="auto"/>
        <w:bottom w:val="none" w:sz="0" w:space="0" w:color="auto"/>
        <w:right w:val="none" w:sz="0" w:space="0" w:color="auto"/>
      </w:divBdr>
      <w:divsChild>
        <w:div w:id="1610510593">
          <w:marLeft w:val="0"/>
          <w:marRight w:val="0"/>
          <w:marTop w:val="0"/>
          <w:marBottom w:val="0"/>
          <w:divBdr>
            <w:top w:val="none" w:sz="0" w:space="0" w:color="auto"/>
            <w:left w:val="single" w:sz="6" w:space="15" w:color="EEEEFF"/>
            <w:bottom w:val="none" w:sz="0" w:space="0" w:color="auto"/>
            <w:right w:val="single" w:sz="6" w:space="15" w:color="EEEEFF"/>
          </w:divBdr>
          <w:divsChild>
            <w:div w:id="1814713512">
              <w:marLeft w:val="0"/>
              <w:marRight w:val="0"/>
              <w:marTop w:val="0"/>
              <w:marBottom w:val="0"/>
              <w:divBdr>
                <w:top w:val="none" w:sz="0" w:space="0" w:color="auto"/>
                <w:left w:val="none" w:sz="0" w:space="0" w:color="auto"/>
                <w:bottom w:val="none" w:sz="0" w:space="0" w:color="auto"/>
                <w:right w:val="none" w:sz="0" w:space="0" w:color="auto"/>
              </w:divBdr>
              <w:divsChild>
                <w:div w:id="748160607">
                  <w:marLeft w:val="315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1985501092">
      <w:bodyDiv w:val="1"/>
      <w:marLeft w:val="0"/>
      <w:marRight w:val="0"/>
      <w:marTop w:val="0"/>
      <w:marBottom w:val="0"/>
      <w:divBdr>
        <w:top w:val="none" w:sz="0" w:space="0" w:color="auto"/>
        <w:left w:val="none" w:sz="0" w:space="0" w:color="auto"/>
        <w:bottom w:val="none" w:sz="0" w:space="0" w:color="auto"/>
        <w:right w:val="none" w:sz="0" w:space="0" w:color="auto"/>
      </w:divBdr>
    </w:div>
    <w:div w:id="2002003630">
      <w:bodyDiv w:val="1"/>
      <w:marLeft w:val="0"/>
      <w:marRight w:val="0"/>
      <w:marTop w:val="0"/>
      <w:marBottom w:val="0"/>
      <w:divBdr>
        <w:top w:val="none" w:sz="0" w:space="0" w:color="auto"/>
        <w:left w:val="none" w:sz="0" w:space="0" w:color="auto"/>
        <w:bottom w:val="none" w:sz="0" w:space="0" w:color="auto"/>
        <w:right w:val="none" w:sz="0" w:space="0" w:color="auto"/>
      </w:divBdr>
    </w:div>
    <w:div w:id="2059013345">
      <w:bodyDiv w:val="1"/>
      <w:marLeft w:val="0"/>
      <w:marRight w:val="0"/>
      <w:marTop w:val="0"/>
      <w:marBottom w:val="0"/>
      <w:divBdr>
        <w:top w:val="none" w:sz="0" w:space="0" w:color="auto"/>
        <w:left w:val="none" w:sz="0" w:space="0" w:color="auto"/>
        <w:bottom w:val="none" w:sz="0" w:space="0" w:color="auto"/>
        <w:right w:val="none" w:sz="0" w:space="0" w:color="auto"/>
      </w:divBdr>
    </w:div>
    <w:div w:id="20933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immunization/diseases/tetanus/lancet-2012-global-child-mortality.pdf" TargetMode="External"/><Relationship Id="rId18" Type="http://schemas.openxmlformats.org/officeDocument/2006/relationships/hyperlink" Target="http://www.who.int/mediacentre/factsheets/fs363/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Schuelert\Desktop\Laura\CAWST\Other%20Materials%20in%20Progress\Maternal%20Child%20Health\For%20Review\resources@cawst.org" TargetMode="External"/><Relationship Id="rId7" Type="http://schemas.openxmlformats.org/officeDocument/2006/relationships/endnotes" Target="endnotes.xml"/><Relationship Id="rId12" Type="http://schemas.openxmlformats.org/officeDocument/2006/relationships/hyperlink" Target="http://www.who.int/pmnch/knowledge/publications/summaries/ks30/en/" TargetMode="External"/><Relationship Id="rId17" Type="http://schemas.openxmlformats.org/officeDocument/2006/relationships/hyperlink" Target="http://www.who.int/mediacentre/factsheets/fs330/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icef.org/publications/files/low_birthweight_from_EY.pdf" TargetMode="External"/><Relationship Id="rId20" Type="http://schemas.openxmlformats.org/officeDocument/2006/relationships/hyperlink" Target="http://www.caw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wst.org/resources" TargetMode="External"/><Relationship Id="rId24" Type="http://schemas.openxmlformats.org/officeDocument/2006/relationships/hyperlink" Target="file:///C:\Users\Schuelert\Desktop\Laura\CAWST\Other%20Materials%20in%20Progress\Maternal%20Child%20Health\For%20Review\www.cawst.org" TargetMode="External"/><Relationship Id="rId5" Type="http://schemas.openxmlformats.org/officeDocument/2006/relationships/webSettings" Target="webSettings.xml"/><Relationship Id="rId15" Type="http://schemas.openxmlformats.org/officeDocument/2006/relationships/hyperlink" Target="http://dx.doi.org/10.1111/tmi.12329"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who.int/mediacentre/factsheets/fs280/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ho.int/pmnch/knowledge/publications/summaries/ks30/en/" TargetMode="External"/><Relationship Id="rId22" Type="http://schemas.openxmlformats.org/officeDocument/2006/relationships/image" Target="media/image4.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859C1-0549-49AF-A7EB-5472866E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Need for Household Water Treatment</vt:lpstr>
    </vt:vector>
  </TitlesOfParts>
  <Company>CAWST</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Need for Household Water Treatment</dc:title>
  <dc:creator>CAWST</dc:creator>
  <cp:lastModifiedBy>Andrea Roach</cp:lastModifiedBy>
  <cp:revision>5</cp:revision>
  <cp:lastPrinted>2015-05-22T09:37:00Z</cp:lastPrinted>
  <dcterms:created xsi:type="dcterms:W3CDTF">2015-05-20T21:56:00Z</dcterms:created>
  <dcterms:modified xsi:type="dcterms:W3CDTF">2016-08-17T17:40:00Z</dcterms:modified>
</cp:coreProperties>
</file>