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color w:val="3d85c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color w:val="3d85c6"/>
          <w:sz w:val="44"/>
          <w:szCs w:val="44"/>
        </w:rPr>
      </w:pPr>
      <w:r w:rsidDel="00000000" w:rsidR="00000000" w:rsidRPr="00000000">
        <w:rPr>
          <w:color w:val="3d85c6"/>
          <w:sz w:val="44"/>
          <w:szCs w:val="44"/>
          <w:rtl w:val="1"/>
        </w:rPr>
        <w:t xml:space="preserve">تحليل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أصحاب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3d85c6"/>
          <w:sz w:val="44"/>
          <w:szCs w:val="44"/>
          <w:rtl w:val="1"/>
        </w:rPr>
        <w:t xml:space="preserve">المصلحة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وأولوياتهم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تطهير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ووش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يقيم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ببرمجة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ووش</w:t>
      </w:r>
      <w:r w:rsidDel="00000000" w:rsidR="00000000" w:rsidRPr="00000000">
        <w:rPr>
          <w:rtl w:val="1"/>
        </w:rPr>
        <w:t xml:space="preserve">" ، </w:t>
      </w:r>
      <w:r w:rsidDel="00000000" w:rsidR="00000000" w:rsidRPr="00000000">
        <w:rPr>
          <w:rtl w:val="1"/>
        </w:rPr>
        <w:t xml:space="preserve">والموقف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والتحالفات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وثيقة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تبدأها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بتحديثها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دوري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والخروج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والوظائف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والمشاريع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الوافدين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التحليل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بينما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التحليل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التوثيق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للتغييرات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التقييمات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يحافظ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مبكر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before="240" w:line="259.20000000000005" w:lineRule="auto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1"/>
        </w:rPr>
        <w:t xml:space="preserve">خطوات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تحليل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أصحاب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تحديد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الفريق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وتدريبه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قم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بتشكيل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مجموعة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صغيرة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شخصين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أربعة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أشخاص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سيقوم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أعضاؤها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بجمع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ومقابلة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وتحليل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كلما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أمكن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لأعضاء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مجموعة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اهتمامات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وخبرات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متميزة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يساعد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تجنب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التحيزات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يقوم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شخص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واحد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مؤسسة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واحدة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بإجراء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التحليل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وجود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أعضاء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لديهم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وجهات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نظر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مختلفة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مفيد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تفسير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النوعية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الغامضة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الأحيان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توضيح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غاية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البرنامج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وأهدافه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لكي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مفيد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الضروري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وجود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واضح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للغرض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التحليل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كما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ضمان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تركيز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الأشخاص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المعنيين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بالمشكلة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القضية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يهدف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تحسينها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وضع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خطة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b w:val="1"/>
          <w:color w:val="000000"/>
          <w:rtl w:val="1"/>
        </w:rPr>
        <w:t xml:space="preserve">قم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بإعداد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المستخدمين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المحتملين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للمعلومات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لكيفية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النتائج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والمعلومات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إعداد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جدول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زمني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للعملية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سيساعد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اتجاه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واضحة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مما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يؤدي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تحسين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كفاءة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التحليل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تذكر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تخصيص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وقت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كاف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لإجراء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المقابلات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وإعادة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جدولتها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الإلغاء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تحديد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أصحاب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المصلحة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الرئيسيين</w:t>
      </w:r>
      <w:r w:rsidDel="00000000" w:rsidR="00000000" w:rsidRPr="00000000">
        <w:rPr>
          <w:b w:val="1"/>
          <w:color w:val="00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جدول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لتسجيل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تفاصيل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شخص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الاسم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والمنصب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والبريد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الإلكتروني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ورقم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الهاتف</w:t>
      </w:r>
      <w:r w:rsidDel="00000000" w:rsidR="00000000" w:rsidRPr="00000000">
        <w:rPr>
          <w:color w:val="000000"/>
          <w:rtl w:val="1"/>
        </w:rPr>
        <w:t xml:space="preserve">). </w:t>
      </w:r>
      <w:r w:rsidDel="00000000" w:rsidR="00000000" w:rsidRPr="00000000">
        <w:rPr>
          <w:color w:val="000000"/>
          <w:rtl w:val="1"/>
        </w:rPr>
        <w:t xml:space="preserve">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وضع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الأخرى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جدول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تأكيد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منها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إعداد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أو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تكييف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أدوات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جمع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بمجرد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الرئيسيين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سيحتاج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الفريق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الخصائص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مراعاتها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بوضوح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واهتمامهم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بالبرنامج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إعداد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أدوات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تكييفها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لذلك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جمع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المعلومات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وتسجيلها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القيام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مجموعة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متنوعة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البيانات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ضع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لمقابلة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للحصول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دقيقة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مواقفهم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واهتماماتهم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وقدراتهم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يمنح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الفريق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فرصة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أفضل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لكيفية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تأثير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تنفيذ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استخدم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القالب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الموجود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الملحق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رقم</w:t>
      </w:r>
      <w:r w:rsidDel="00000000" w:rsidR="00000000" w:rsidRPr="00000000">
        <w:rPr>
          <w:color w:val="000000"/>
          <w:rtl w:val="1"/>
        </w:rPr>
        <w:t xml:space="preserve"> 1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نهاية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لملء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جمعها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وصف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أصحاب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المصلحة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وصف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لطريقة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المختارة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اختيار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طريقة</w:t>
      </w:r>
      <w:r w:rsidDel="00000000" w:rsidR="00000000" w:rsidRPr="00000000">
        <w:rPr>
          <w:color w:val="000000"/>
          <w:rtl w:val="1"/>
        </w:rPr>
        <w:t xml:space="preserve"> "</w:t>
      </w:r>
      <w:r w:rsidDel="00000000" w:rsidR="00000000" w:rsidRPr="00000000">
        <w:rPr>
          <w:color w:val="000000"/>
          <w:rtl w:val="1"/>
        </w:rPr>
        <w:t xml:space="preserve">القوة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مقابل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الفائدة</w:t>
      </w:r>
      <w:r w:rsidDel="00000000" w:rsidR="00000000" w:rsidRPr="00000000">
        <w:rPr>
          <w:color w:val="000000"/>
          <w:rtl w:val="1"/>
        </w:rPr>
        <w:t xml:space="preserve">" ، </w:t>
      </w:r>
      <w:r w:rsidDel="00000000" w:rsidR="00000000" w:rsidRPr="00000000">
        <w:rPr>
          <w:color w:val="000000"/>
          <w:rtl w:val="1"/>
        </w:rPr>
        <w:t xml:space="preserve">فسيتم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تصنيفهم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النحو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مصفوفة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القوة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والمصالح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أكثر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منهجيات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شيوع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؛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العثور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القالب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الملحق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رقم</w:t>
      </w:r>
      <w:r w:rsidDel="00000000" w:rsidR="00000000" w:rsidRPr="00000000">
        <w:rPr>
          <w:color w:val="000000"/>
          <w:rtl w:val="1"/>
        </w:rPr>
        <w:t xml:space="preserve"> 2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نهاية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المستند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1440" w:hanging="357"/>
        <w:rPr/>
      </w:pPr>
      <w:r w:rsidDel="00000000" w:rsidR="00000000" w:rsidRPr="00000000">
        <w:rPr>
          <w:color w:val="000000"/>
          <w:rtl w:val="1"/>
        </w:rPr>
        <w:t xml:space="preserve">إهتمام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عال</w:t>
      </w:r>
      <w:r w:rsidDel="00000000" w:rsidR="00000000" w:rsidRPr="00000000">
        <w:rPr>
          <w:color w:val="000000"/>
          <w:rtl w:val="1"/>
        </w:rPr>
        <w:t xml:space="preserve">ٍ ، </w:t>
      </w:r>
      <w:r w:rsidDel="00000000" w:rsidR="00000000" w:rsidRPr="00000000">
        <w:rPr>
          <w:color w:val="000000"/>
          <w:rtl w:val="1"/>
        </w:rPr>
        <w:t xml:space="preserve">سلطة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عالية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اء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مستشار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متعاون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مشارك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1440" w:hanging="357"/>
        <w:rPr/>
      </w:pPr>
      <w:r w:rsidDel="00000000" w:rsidR="00000000" w:rsidRPr="00000000">
        <w:rPr>
          <w:color w:val="000000"/>
          <w:rtl w:val="1"/>
        </w:rPr>
        <w:t xml:space="preserve">اهتمام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سلطة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عالية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اء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مستشار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متعاون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مشارك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1440" w:hanging="357"/>
        <w:rPr/>
      </w:pPr>
      <w:r w:rsidDel="00000000" w:rsidR="00000000" w:rsidRPr="00000000">
        <w:rPr>
          <w:color w:val="000000"/>
          <w:rtl w:val="1"/>
        </w:rPr>
        <w:t xml:space="preserve">اهتمام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سلطة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منخفضة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بن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اء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مستشار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متعاون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محفز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مشارك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120" w:line="240" w:lineRule="auto"/>
        <w:ind w:left="1440" w:hanging="357"/>
        <w:rPr/>
      </w:pPr>
      <w:r w:rsidDel="00000000" w:rsidR="00000000" w:rsidRPr="00000000">
        <w:rPr>
          <w:color w:val="000000"/>
          <w:rtl w:val="1"/>
        </w:rPr>
        <w:t xml:space="preserve">اهتمام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سلطة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منخفضة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مقاوم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مستشار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متعاون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مشارك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تحليل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جدول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أصحاب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المصلحة</w:t>
      </w:r>
      <w:r w:rsidDel="00000000" w:rsidR="00000000" w:rsidRPr="00000000">
        <w:rPr>
          <w:b w:val="1"/>
          <w:color w:val="00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ضروري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لإدارة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الوقت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وكفاءة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ونجاحه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عدد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المحيطين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بالبرنامج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هائلا</w:t>
      </w:r>
      <w:r w:rsidDel="00000000" w:rsidR="00000000" w:rsidRPr="00000000">
        <w:rPr>
          <w:color w:val="000000"/>
          <w:rtl w:val="1"/>
        </w:rPr>
        <w:t xml:space="preserve">ً ، </w:t>
      </w:r>
      <w:r w:rsidDel="00000000" w:rsidR="00000000" w:rsidRPr="00000000">
        <w:rPr>
          <w:color w:val="000000"/>
          <w:rtl w:val="1"/>
        </w:rPr>
        <w:t xml:space="preserve">كما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التعامل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ٍ </w:t>
      </w:r>
      <w:r w:rsidDel="00000000" w:rsidR="00000000" w:rsidRPr="00000000">
        <w:rPr>
          <w:color w:val="000000"/>
          <w:rtl w:val="1"/>
        </w:rPr>
        <w:t xml:space="preserve">منهم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بنفس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الطريقة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عملي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ويهدر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الموارد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لطريقة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تحديد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المختارة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شبكة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الطاقة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ترتيب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أولوياتهم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للربع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وضعهم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تحديد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خطط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إشراك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أصحاب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المصلحة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ستسمح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النتائج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للفريق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بإيجاد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ومشاركة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الأفكار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ستؤدي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إعداد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مشاركة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إعلام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فئة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ومراقبتها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ومشاركة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معها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ورصد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مدى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رضاها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تركز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برامج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المياه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والصرف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الصحي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والنظافة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العامة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الفئات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المستضعفة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لذلك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فكر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دائم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لتمكين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منخفضي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القوة</w:t>
      </w:r>
      <w:r w:rsidDel="00000000" w:rsidR="00000000" w:rsidRPr="00000000">
        <w:rPr>
          <w:color w:val="000000"/>
          <w:rtl w:val="1"/>
        </w:rPr>
        <w:t xml:space="preserve">.  </w:t>
      </w:r>
      <w:r w:rsidDel="00000000" w:rsidR="00000000" w:rsidRPr="00000000">
        <w:rPr>
          <w:color w:val="000000"/>
          <w:rtl w:val="1"/>
        </w:rPr>
        <w:t xml:space="preserve">غالبا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يكونوا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المستخدمين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النهائيين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لخدمات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وغالبا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يكونوا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المستهدفين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برامج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معالجة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وتخزين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مياه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الشرب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المنازل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0"/>
        </w:rPr>
        <w:t xml:space="preserve">HWTS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تقنيات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HWTS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باستمرار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وبشكل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صحيح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تحفيزهم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ومنحهم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القوة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برامجنا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فشل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تحقيق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أهدافه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120" w:line="240" w:lineRule="auto"/>
        <w:ind w:left="720" w:hanging="357"/>
        <w:rPr/>
      </w:pPr>
      <w:r w:rsidDel="00000000" w:rsidR="00000000" w:rsidRPr="00000000">
        <w:rPr>
          <w:b w:val="1"/>
          <w:color w:val="000000"/>
          <w:rtl w:val="1"/>
        </w:rPr>
        <w:t xml:space="preserve">نشر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المعلومات</w:t>
      </w:r>
      <w:r w:rsidDel="00000000" w:rsidR="00000000" w:rsidRPr="00000000">
        <w:rPr>
          <w:b w:val="1"/>
          <w:color w:val="00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بالتوافق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إعدادها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بداية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تحليل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أصحاب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المصلحة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نشر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النتائج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الأخرى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الصلة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لذلك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  <w:sectPr>
          <w:headerReference r:id="rId7" w:type="default"/>
          <w:headerReference r:id="rId8" w:type="first"/>
          <w:footerReference r:id="rId9" w:type="first"/>
          <w:pgSz w:h="15840" w:w="12240" w:orient="portrait"/>
          <w:pgMar w:bottom="1440" w:top="1440" w:left="1440" w:right="1440" w:header="708" w:footer="708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40" w:before="240" w:line="240" w:lineRule="auto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1"/>
        </w:rPr>
        <w:t xml:space="preserve">الملحق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رقم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1. </w:t>
      </w:r>
      <w:r w:rsidDel="00000000" w:rsidR="00000000" w:rsidRPr="00000000">
        <w:rPr>
          <w:b w:val="1"/>
          <w:color w:val="3d85c6"/>
          <w:sz w:val="24"/>
          <w:szCs w:val="24"/>
          <w:u w:val="single"/>
          <w:rtl w:val="1"/>
        </w:rPr>
        <w:t xml:space="preserve">أ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داة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جمع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بياناتأصحاب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</w:p>
    <w:tbl>
      <w:tblPr>
        <w:tblStyle w:val="Table1"/>
        <w:bidiVisual w:val="1"/>
        <w:tblW w:w="14401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3"/>
        <w:gridCol w:w="1482"/>
        <w:gridCol w:w="1237"/>
        <w:gridCol w:w="1649"/>
        <w:gridCol w:w="1136"/>
        <w:gridCol w:w="1219"/>
        <w:gridCol w:w="1112"/>
        <w:gridCol w:w="1824"/>
        <w:gridCol w:w="1304"/>
        <w:gridCol w:w="1485"/>
        <w:tblGridChange w:id="0">
          <w:tblGrid>
            <w:gridCol w:w="1953"/>
            <w:gridCol w:w="1482"/>
            <w:gridCol w:w="1237"/>
            <w:gridCol w:w="1649"/>
            <w:gridCol w:w="1136"/>
            <w:gridCol w:w="1219"/>
            <w:gridCol w:w="1112"/>
            <w:gridCol w:w="1824"/>
            <w:gridCol w:w="1304"/>
            <w:gridCol w:w="1485"/>
          </w:tblGrid>
        </w:tblGridChange>
      </w:tblGrid>
      <w:tr>
        <w:trPr>
          <w:cantSplit w:val="0"/>
          <w:trHeight w:val="15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المنصب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المنظمة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الأثر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</w:p>
          <w:p w:rsidR="00000000" w:rsidDel="00000000" w:rsidP="00000000" w:rsidRDefault="00000000" w:rsidRPr="00000000" w14:paraId="0000001B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النفوذ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البريد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الاتصال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نحتاج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منهم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الاتجاهات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والمخاطر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المحتملة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الاهتمامات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المشكلات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الرئيسية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استراتيجية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والإدارة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المخاوف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المسؤوليات</w:t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  <w:sectPr>
          <w:type w:val="nextPage"/>
          <w:pgSz w:h="12240" w:w="15840" w:orient="landscape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1"/>
        </w:rPr>
        <w:t xml:space="preserve">الملحق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رقم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2.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تصنيفات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ووصف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أصحاب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مدخلات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. </w:t>
      </w:r>
    </w:p>
    <w:tbl>
      <w:tblPr>
        <w:tblStyle w:val="Table2"/>
        <w:bidiVisual w:val="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تصنيفات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ووصف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أصحاب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المصلحة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شبكة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والنفوذ</w:t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السلطة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القوة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النشطة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التأثير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شبكة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والاهتمام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السلطة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القوة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الاهتمام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شبكة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النفوذ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والأثر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النشطة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التأثير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القدرة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إحداث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التغيير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التأثير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إبراز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القدرة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إرادتهم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القوة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الحاجة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الاهتمام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الفوري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الاستعجال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ملاءمة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المشاركة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الشرعية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1"/>
        </w:rPr>
        <w:t xml:space="preserve">المصطلحات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الأثر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القدرة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إحداث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التغيير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التأثير</w:t>
      </w:r>
      <w:r w:rsidDel="00000000" w:rsidR="00000000" w:rsidRPr="00000000">
        <w:rPr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النفوذ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المشاركة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النشطة</w:t>
      </w:r>
      <w:r w:rsidDel="00000000" w:rsidR="00000000" w:rsidRPr="00000000">
        <w:rPr>
          <w:color w:val="000000"/>
          <w:rtl w:val="1"/>
        </w:rPr>
        <w:t xml:space="preserve">(</w:t>
      </w:r>
      <w:r w:rsidDel="00000000" w:rsidR="00000000" w:rsidRPr="00000000">
        <w:rPr>
          <w:color w:val="000000"/>
          <w:rtl w:val="1"/>
        </w:rPr>
        <w:t xml:space="preserve">التأثير</w:t>
      </w:r>
      <w:r w:rsidDel="00000000" w:rsidR="00000000" w:rsidRPr="00000000">
        <w:rPr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الاهتمام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color w:val="000000"/>
          <w:rtl w:val="1"/>
        </w:rPr>
        <w:t xml:space="preserve">مستوى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الاهتمام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السلطة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مستوى</w:t>
      </w:r>
      <w:r w:rsidDel="00000000" w:rsidR="00000000" w:rsidRPr="00000000">
        <w:rPr>
          <w:b w:val="1"/>
          <w:color w:val="000000"/>
          <w:rtl w:val="1"/>
        </w:rPr>
        <w:t xml:space="preserve">السلطة</w:t>
      </w:r>
      <w:r w:rsidDel="00000000" w:rsidR="00000000" w:rsidRPr="00000000">
        <w:rPr>
          <w:b w:val="1"/>
          <w:color w:val="000000"/>
          <w:rtl w:val="1"/>
        </w:rPr>
        <w:t xml:space="preserve"> (</w:t>
      </w:r>
      <w:r w:rsidDel="00000000" w:rsidR="00000000" w:rsidRPr="00000000">
        <w:rPr>
          <w:b w:val="1"/>
          <w:color w:val="000000"/>
          <w:rtl w:val="1"/>
        </w:rPr>
        <w:t xml:space="preserve">القوة</w:t>
      </w:r>
      <w:r w:rsidDel="00000000" w:rsidR="00000000" w:rsidRPr="00000000">
        <w:rPr>
          <w:b w:val="1"/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الشرعية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b w:val="1"/>
          <w:color w:val="000000"/>
          <w:rtl w:val="1"/>
        </w:rPr>
        <w:t xml:space="preserve">ملاءمة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المشاركة</w:t>
      </w:r>
      <w:r w:rsidDel="00000000" w:rsidR="00000000" w:rsidRPr="00000000">
        <w:rPr>
          <w:b w:val="1"/>
          <w:color w:val="000000"/>
          <w:rtl w:val="1"/>
        </w:rPr>
        <w:t xml:space="preserve"> (</w:t>
      </w:r>
      <w:r w:rsidDel="00000000" w:rsidR="00000000" w:rsidRPr="00000000">
        <w:rPr>
          <w:b w:val="1"/>
          <w:color w:val="000000"/>
          <w:rtl w:val="1"/>
        </w:rPr>
        <w:t xml:space="preserve">الشرعية</w:t>
      </w:r>
      <w:r w:rsidDel="00000000" w:rsidR="00000000" w:rsidRPr="00000000">
        <w:rPr>
          <w:b w:val="1"/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/>
      </w:pPr>
      <w:r w:rsidDel="00000000" w:rsidR="00000000" w:rsidRPr="00000000">
        <w:rPr>
          <w:b w:val="1"/>
          <w:color w:val="000000"/>
          <w:rtl w:val="1"/>
        </w:rPr>
        <w:t xml:space="preserve">الاستعجال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الحاجة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الاهتمام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الفوري</w:t>
      </w:r>
      <w:r w:rsidDel="00000000" w:rsidR="00000000" w:rsidRPr="00000000">
        <w:rPr>
          <w:b w:val="1"/>
          <w:color w:val="000000"/>
          <w:rtl w:val="1"/>
        </w:rPr>
        <w:t xml:space="preserve"> (</w:t>
      </w:r>
      <w:r w:rsidDel="00000000" w:rsidR="00000000" w:rsidRPr="00000000">
        <w:rPr>
          <w:b w:val="1"/>
          <w:color w:val="000000"/>
          <w:rtl w:val="1"/>
        </w:rPr>
        <w:t xml:space="preserve">الاستعجال</w:t>
      </w:r>
      <w:r w:rsidDel="00000000" w:rsidR="00000000" w:rsidRPr="00000000">
        <w:rPr>
          <w:b w:val="1"/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color w:val="3d85c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3d85c6"/>
          <w:sz w:val="24"/>
          <w:szCs w:val="24"/>
          <w:rtl w:val="1"/>
        </w:rPr>
        <w:t xml:space="preserve">الملحق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3 -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شبكة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ومصفوفة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تعيين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أصحاب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d85c6"/>
          <w:sz w:val="24"/>
          <w:szCs w:val="24"/>
          <w:rtl w:val="1"/>
        </w:rPr>
        <w:t xml:space="preserve">المصلحة</w:t>
      </w:r>
    </w:p>
    <w:p w:rsidR="00000000" w:rsidDel="00000000" w:rsidP="00000000" w:rsidRDefault="00000000" w:rsidRPr="00000000" w14:paraId="00000072">
      <w:pPr>
        <w:jc w:val="right"/>
        <w:rPr/>
      </w:pPr>
      <w:bookmarkStart w:colFirst="0" w:colLast="0" w:name="_heading=h.ixtrlwcu7950" w:id="1"/>
      <w:bookmarkEnd w:id="1"/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https://www.techno-pm.com/2020/06/stakeholder-analysis-template.html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612037</wp:posOffset>
            </wp:positionV>
            <wp:extent cx="4982845" cy="3799205"/>
            <wp:effectExtent b="0" l="0" r="0" t="0"/>
            <wp:wrapTopAndBottom distB="0" distT="0"/>
            <wp:docPr descr="Table&#10;&#10;Description automatically generated with medium confidence" id="223" name="image1.png"/>
            <a:graphic>
              <a:graphicData uri="http://schemas.openxmlformats.org/drawingml/2006/picture">
                <pic:pic>
                  <pic:nvPicPr>
                    <pic:cNvPr descr="Table&#10;&#10;Description automatically generated with medium confidence" id="0" name="image1.png"/>
                    <pic:cNvPicPr preferRelativeResize="0"/>
                  </pic:nvPicPr>
                  <pic:blipFill>
                    <a:blip r:embed="rId11"/>
                    <a:srcRect b="4956" l="2527" r="2934" t="1367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3799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المراجع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Bevis, M. (2015). 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Project Management for the Professional Professional Part 4 - Stakeholder Analysis.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https://higherlogicdownload.s3.amazonaws.com/NIGP/fa5d02bd-42e8-4cbb-9ef8-c8cebd77d365/UploadedImages/Docs/Presentations/Bevis%20-%20Project%20Management%20Session%204.pdf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 of South Australia (unknown). </w:t>
      </w:r>
      <w:r w:rsidDel="00000000" w:rsidR="00000000" w:rsidRPr="00000000">
        <w:rPr>
          <w:i w:val="1"/>
          <w:sz w:val="24"/>
          <w:szCs w:val="24"/>
          <w:rtl w:val="0"/>
        </w:rPr>
        <w:t xml:space="preserve">Prioritising your stakeholders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https://www.publicsector.sa.gov.au/__data/assets/pdf_file/0009/231678/08-Prioritising_your_stakeholders.pdf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MindTools. (unknown). </w:t>
      </w:r>
      <w:r w:rsidDel="00000000" w:rsidR="00000000" w:rsidRPr="00000000">
        <w:rPr>
          <w:i w:val="1"/>
          <w:sz w:val="24"/>
          <w:szCs w:val="24"/>
          <w:rtl w:val="0"/>
        </w:rPr>
        <w:t xml:space="preserve">Stakeholder Analysis: Winning Support for Your Projects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https://www.mindtools.com/pages/article/newPPM_07.htm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bidi w:val="1"/>
        <w:ind w:left="720" w:hanging="360"/>
        <w:rPr/>
      </w:pPr>
      <w:bookmarkStart w:colFirst="0" w:colLast="0" w:name="_heading=h.xb5hpacgutpx" w:id="2"/>
      <w:bookmarkEnd w:id="2"/>
      <w:r w:rsidDel="00000000" w:rsidR="00000000" w:rsidRPr="00000000">
        <w:rPr>
          <w:sz w:val="24"/>
          <w:szCs w:val="24"/>
          <w:rtl w:val="0"/>
        </w:rPr>
        <w:t xml:space="preserve">UXPin. (2022).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is Stakeholder Analysis and How Product Teams Should Do It?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ما</w:t>
        </w:r>
      </w:hyperlink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هو</w:t>
        </w:r>
      </w:hyperlink>
      <w:hyperlink r:id="rId18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تحليل</w:t>
        </w:r>
      </w:hyperlink>
      <w:hyperlink r:id="rId20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أصحاب</w:t>
        </w:r>
      </w:hyperlink>
      <w:hyperlink r:id="rId22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المصلحة</w:t>
        </w:r>
      </w:hyperlink>
      <w:hyperlink r:id="rId24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وكيف</w:t>
        </w:r>
      </w:hyperlink>
      <w:hyperlink r:id="rId26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تقوم</w:t>
        </w:r>
      </w:hyperlink>
      <w:hyperlink r:id="rId28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به</w:t>
        </w:r>
      </w:hyperlink>
      <w:hyperlink r:id="rId30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فرق</w:t>
        </w:r>
      </w:hyperlink>
      <w:hyperlink r:id="rId32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العمل</w:t>
        </w:r>
      </w:hyperlink>
      <w:hyperlink r:id="rId34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؟</w:t>
        </w:r>
      </w:hyperlink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right"/>
      <w:rPr/>
    </w:pPr>
    <w:r w:rsidDel="00000000" w:rsidR="00000000" w:rsidRPr="00000000">
      <w:rPr>
        <w:rFonts w:ascii="Lato" w:cs="Lato" w:eastAsia="Lato" w:hAnsi="Lato"/>
        <w:b w:val="1"/>
        <w:color w:val="2b95b8"/>
        <w:sz w:val="36"/>
        <w:szCs w:val="36"/>
      </w:rPr>
      <w:drawing>
        <wp:inline distB="114300" distT="114300" distL="114300" distR="114300">
          <wp:extent cx="1329372" cy="460167"/>
          <wp:effectExtent b="0" l="0" r="0" t="0"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372" cy="4601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1D36D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bidi="ar-AA" w:eastAsia="en-CA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665B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AA" w:eastAsia="en-CA"/>
    </w:rPr>
  </w:style>
  <w:style w:type="character" w:styleId="Heading3Char" w:customStyle="1">
    <w:name w:val="Heading 3 Char"/>
    <w:basedOn w:val="DefaultParagraphFont"/>
    <w:link w:val="Heading3"/>
    <w:uiPriority w:val="9"/>
    <w:rsid w:val="001D36DA"/>
    <w:rPr>
      <w:rFonts w:ascii="Times New Roman" w:cs="Times New Roman" w:eastAsia="Times New Roman" w:hAnsi="Times New Roman"/>
      <w:b w:val="1"/>
      <w:bCs w:val="1"/>
      <w:sz w:val="27"/>
      <w:szCs w:val="27"/>
      <w:lang w:bidi="ar-AA" w:eastAsia="en-CA"/>
    </w:rPr>
  </w:style>
  <w:style w:type="character" w:styleId="Strong">
    <w:name w:val="Strong"/>
    <w:basedOn w:val="DefaultParagraphFont"/>
    <w:uiPriority w:val="22"/>
    <w:qFormat w:val="1"/>
    <w:rsid w:val="001D36DA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1D36DA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1D36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 w:val="1"/>
    <w:rsid w:val="00125C2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5074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6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647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647B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647B9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39"/>
    <w:rsid w:val="009225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3689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locked w:val="1"/>
    <w:rsid w:val="00723AB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619E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619E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2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1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4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3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5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8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27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31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30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1" Type="http://schemas.openxmlformats.org/officeDocument/2006/relationships/image" Target="media/image1.png"/><Relationship Id="rId33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0" Type="http://schemas.openxmlformats.org/officeDocument/2006/relationships/hyperlink" Target="https://www.techno-pm.com/2020/06/stakeholder-analysis-template.html" TargetMode="External"/><Relationship Id="rId32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3" Type="http://schemas.openxmlformats.org/officeDocument/2006/relationships/hyperlink" Target="https://www.publicsector.sa.gov.au/__data/assets/pdf_file/0009/231678/08-Prioritising_your_stakeholders.pdf" TargetMode="External"/><Relationship Id="rId12" Type="http://schemas.openxmlformats.org/officeDocument/2006/relationships/hyperlink" Target="https://higherlogicdownload.s3.amazonaws.com/NIGP/fa5d02bd-42e8-4cbb-9ef8-c8cebd77d365/UploadedImages/Docs/Presentations/Bevis%20-%20Project%20Management%20Session%204.pdf" TargetMode="External"/><Relationship Id="rId34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5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4" Type="http://schemas.openxmlformats.org/officeDocument/2006/relationships/hyperlink" Target="https://www.mindtools.com/pages/article/newPPM_07.htm" TargetMode="External"/><Relationship Id="rId17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6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9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Relationship Id="rId18" Type="http://schemas.openxmlformats.org/officeDocument/2006/relationships/hyperlink" Target="https://www.uxpin.com/studio/blog/stakeholder-analysis-for-product-teams/#:~:text=%20How%20to%20do%20Stakeholder%20Analysis%20%201,can%20prioritize%20each%20stakeholder%20and%20assign...%20More%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/EhbwWhNX2uMFrxzRxMlZu74ZQ==">AMUW2mVZOXMljeP1PGTpQBLZpjP2J/IV3FT2UGTOVyip3HMG5a2zJEjQS6HAzERWU922oIfJBB0prkbixoFOFxUjm9bzWGdrDJ3cV8XlUKKSWa+ZLACeEQ6gHQeh21ZxlxpAZIyShaaRK8Z+8xpyTJ8+dckkEP9GwcPoEDqFNUxRz+ebTTEaLJ8=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2022-06-19T17:36:00Z</dcterms:created>
  <dc:creator>Becky Morante</dc:creator>
</cp:coreProperties>
</file>