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E60" w14:textId="421B060A" w:rsidR="00C60C41" w:rsidRPr="002E3A8A" w:rsidRDefault="00064664" w:rsidP="00642D62">
      <w:pPr>
        <w:pStyle w:val="Title"/>
        <w:rPr>
          <w:sz w:val="32"/>
          <w:lang w:val="fr-FR"/>
          <w:rFonts/>
        </w:rPr>
      </w:pPr>
      <w:r w:rsidRPr="008C504A">
        <w:rPr>
          <w:sz w:val="32"/>
          <w:lang w:val="fr-FR"/>
          <w:rFonts/>
        </w:rPr>
        <w:drawing>
          <wp:anchor distT="0" distB="0" distL="114300" distR="114300" simplePos="0" relativeHeight="251658240" behindDoc="0" locked="0" layoutInCell="1" allowOverlap="1" wp14:anchorId="47CBA7A6" wp14:editId="2D56E0DB">
            <wp:simplePos x="0" y="0"/>
            <wp:positionH relativeFrom="column">
              <wp:posOffset>-3810</wp:posOffset>
            </wp:positionH>
            <wp:positionV relativeFrom="page">
              <wp:posOffset>1356498</wp:posOffset>
            </wp:positionV>
            <wp:extent cx="262255" cy="262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ck--noun_966131.emf"/>
                    <pic:cNvPicPr/>
                  </pic:nvPicPr>
                  <pic:blipFill>
                    <a:blip r:embed="rId8">
                      <a:lum bright="70000" contrast="-70000"/>
                      <a:extLst>
                        <a:ext uri="{28A0092B-C50C-407E-A947-70E740481C1C}">
                          <a14:useLocalDpi xmlns:a14="http://schemas.microsoft.com/office/drawing/2010/main" val="0"/>
                        </a:ext>
                      </a:extLst>
                    </a:blip>
                    <a:stretch>
                      <a:fillRect/>
                    </a:stretch>
                  </pic:blipFill>
                  <pic:spPr>
                    <a:xfrm>
                      <a:off x="0" y="0"/>
                      <a:ext cx="262255" cy="262255"/>
                    </a:xfrm>
                    <a:prstGeom prst="rect">
                      <a:avLst/>
                    </a:prstGeom>
                    <a:noFill/>
                  </pic:spPr>
                </pic:pic>
              </a:graphicData>
            </a:graphic>
            <wp14:sizeRelH relativeFrom="margin">
              <wp14:pctWidth>0</wp14:pctWidth>
            </wp14:sizeRelH>
            <wp14:sizeRelV relativeFrom="margin">
              <wp14:pctHeight>0</wp14:pctHeight>
            </wp14:sizeRelV>
          </wp:anchor>
        </w:drawing>
      </w:r>
      <w:r>
        <w:rPr>
          <w:sz w:val="32"/>
          <w:lang w:val="fr-FR"/>
          <w:rFonts/>
        </w:rPr>
        <w:t xml:space="preserve">Conception de programmes de conservation et traitement de l'eau à domicile (CTED)</w:t>
      </w:r>
    </w:p>
    <w:p w14:paraId="77D066E7" w14:textId="168494AC" w:rsidR="00C60C41" w:rsidRDefault="002D245F" w:rsidP="002D245F">
      <w:pPr>
        <w:pStyle w:val="LengthofWorkshop"/>
      </w:pPr>
      <w:r>
        <w:rPr>
          <w:lang w:val="fr-FR"/>
          <w:rFonts/>
        </w:rPr>
        <w:t xml:space="preserve">DURÉE : 4 jours</w:t>
      </w:r>
    </w:p>
    <w:p w14:paraId="1108B557" w14:textId="70AF9EF3" w:rsidR="00C60C41" w:rsidRDefault="002D245F" w:rsidP="00D14BC4">
      <w:pPr>
        <w:pStyle w:val="Heading1"/>
      </w:pPr>
      <w:r>
        <w:rPr>
          <w:lang w:val="fr-FR"/>
          <w:rFonts/>
        </w:rPr>
        <w:t xml:space="preserve">Description de la formation</w:t>
      </w:r>
    </w:p>
    <w:p w14:paraId="1621832E" w14:textId="588850B8" w:rsidR="000240B9" w:rsidRPr="006D42A4" w:rsidRDefault="008C504A" w:rsidP="00C60C41">
      <w:r>
        <w:rPr>
          <w:lang w:val="fr-FR"/>
          <w:rFonts/>
        </w:rPr>
        <w:t xml:space="preserve">Cette formation offre un aperçu des sept composantes d'un programme de CTED réussi : comprendre les comportements, impliquer les parties prenantes, les produits et services, créer de la demande, renforcer les compétences, le financement et le suivi. Après cette formation, les participants seront capables de concevoir ou de renforcer un programme de CTED adapté à leur contexte.</w:t>
      </w:r>
      <w:r>
        <w:rPr>
          <w:lang w:val="fr-FR"/>
          <w:rFonts/>
        </w:rPr>
        <w:t xml:space="preserve"> </w:t>
      </w:r>
      <w:r>
        <w:rPr>
          <w:lang w:val="fr-FR"/>
          <w:rFonts/>
        </w:rPr>
        <w:t xml:space="preserve">Ils auront une meilleure connaissance des facteurs qui influent sur les changements de comportement et seront mieux préparées à accompagner les habitants des communautés et des foyers vers une utilisation correcte, constante et continue de la CTED.</w:t>
      </w:r>
      <w:r>
        <w:rPr>
          <w:lang w:val="fr-FR"/>
          <w:rFonts/>
        </w:rPr>
        <w:t xml:space="preserve"> </w:t>
      </w:r>
      <w:r>
        <w:rPr>
          <w:lang w:val="fr-FR"/>
          <w:rFonts/>
        </w:rPr>
        <w:t xml:space="preserve">Cette formation est destinée aux décideurs et aux concepteurs de programmes de CTED.</w:t>
      </w:r>
      <w:r>
        <w:rPr>
          <w:lang w:val="fr-FR"/>
          <w:rFonts/>
        </w:rPr>
        <w:t xml:space="preserve"> </w:t>
      </w:r>
    </w:p>
    <w:p w14:paraId="1EB23482" w14:textId="77777777" w:rsidR="00C60C41" w:rsidRDefault="002D245F" w:rsidP="002D245F">
      <w:pPr>
        <w:pStyle w:val="Heading1"/>
      </w:pPr>
      <w:r>
        <w:rPr>
          <w:lang w:val="fr-FR"/>
          <w:rFonts/>
        </w:rPr>
        <w:t xml:space="preserve">Objectifs</w:t>
      </w:r>
    </w:p>
    <w:p w14:paraId="36E967CD" w14:textId="0EF0CFEC" w:rsidR="00C60C41" w:rsidRDefault="00C60C41" w:rsidP="00C60C41">
      <w:r>
        <w:rPr>
          <w:lang w:val="fr-FR"/>
          <w:rFonts/>
        </w:rPr>
        <w:t xml:space="preserve">En fin de formation, les participants seront en mesure de :</w:t>
      </w:r>
    </w:p>
    <w:p w14:paraId="4591CAEE" w14:textId="42792B67" w:rsidR="006D42A4" w:rsidRDefault="00D5361E" w:rsidP="006D42A4">
      <w:pPr>
        <w:pStyle w:val="ListParagraph1"/>
      </w:pPr>
      <w:r>
        <w:rPr>
          <w:lang w:val="fr-FR"/>
          <w:rFonts/>
        </w:rPr>
        <w:t xml:space="preserve">Utiliser un cadre de changement des comportements pour orienter les décisions et les activités d'un programme</w:t>
      </w:r>
    </w:p>
    <w:p w14:paraId="0522EFBF" w14:textId="18E76A36" w:rsidR="006D42A4" w:rsidRDefault="00C73881" w:rsidP="006D42A4">
      <w:pPr>
        <w:pStyle w:val="ListParagraph1"/>
      </w:pPr>
      <w:r>
        <w:rPr>
          <w:lang w:val="fr-FR"/>
          <w:rFonts/>
        </w:rPr>
        <w:t xml:space="preserve">Sélectionner des activités appropriées pour impliquer les parties prenantes d'un programme de CTED</w:t>
      </w:r>
    </w:p>
    <w:p w14:paraId="2854195A" w14:textId="06811567" w:rsidR="006D42A4" w:rsidRDefault="006D42A4" w:rsidP="006D42A4">
      <w:pPr>
        <w:pStyle w:val="ListParagraph1"/>
      </w:pPr>
      <w:r>
        <w:rPr>
          <w:lang w:val="fr-FR"/>
          <w:rFonts/>
        </w:rPr>
        <w:t xml:space="preserve">Choisir des activités appropriées pour créer de la demande dans le cadre d'un programme de CTED</w:t>
      </w:r>
      <w:r>
        <w:rPr>
          <w:lang w:val="fr-FR"/>
          <w:rFonts/>
        </w:rPr>
        <w:t xml:space="preserve"> </w:t>
      </w:r>
    </w:p>
    <w:p w14:paraId="40CE5CA7" w14:textId="4B7D45D1" w:rsidR="006D42A4" w:rsidRDefault="006D42A4" w:rsidP="006D42A4">
      <w:pPr>
        <w:pStyle w:val="ListParagraph1"/>
      </w:pPr>
      <w:r>
        <w:rPr>
          <w:lang w:val="fr-FR"/>
          <w:rFonts/>
        </w:rPr>
        <w:t xml:space="preserve">Décrire des moyens de renforcer la chaîne d'approvisionnement d'un programme de CTED</w:t>
      </w:r>
    </w:p>
    <w:p w14:paraId="7776A480" w14:textId="1EA27E29" w:rsidR="006D42A4" w:rsidRDefault="006D42A4" w:rsidP="006D42A4">
      <w:pPr>
        <w:pStyle w:val="ListParagraph1"/>
      </w:pPr>
      <w:r>
        <w:rPr>
          <w:lang w:val="fr-FR"/>
          <w:rFonts/>
        </w:rPr>
        <w:t xml:space="preserve">Recommander un plan de financement pour un programme de CTED</w:t>
      </w:r>
      <w:r>
        <w:rPr>
          <w:lang w:val="fr-FR"/>
          <w:rFonts/>
        </w:rPr>
        <w:t xml:space="preserve"> </w:t>
      </w:r>
    </w:p>
    <w:p w14:paraId="1D91A93B" w14:textId="24520C66" w:rsidR="006D42A4" w:rsidRDefault="008513F1" w:rsidP="006D42A4">
      <w:pPr>
        <w:pStyle w:val="ListParagraph1"/>
      </w:pPr>
      <w:r>
        <w:rPr>
          <w:lang w:val="fr-FR"/>
          <w:rFonts/>
        </w:rPr>
        <w:t xml:space="preserve">Choisir des activités appropriées pour renforcer les capacités des parties prenantes d'un programme de CTED</w:t>
      </w:r>
    </w:p>
    <w:p w14:paraId="368E36DC" w14:textId="2776780A" w:rsidR="006D42A4" w:rsidRDefault="00661702" w:rsidP="006D42A4">
      <w:pPr>
        <w:pStyle w:val="ListParagraph1"/>
      </w:pPr>
      <w:r>
        <w:rPr>
          <w:lang w:val="fr-FR"/>
          <w:rFonts/>
        </w:rPr>
        <w:t xml:space="preserve">Expliquer comment créer un système de surveillance pour un programme de CTED</w:t>
      </w:r>
    </w:p>
    <w:p w14:paraId="7D825578" w14:textId="0229957D" w:rsidR="000240B9" w:rsidRPr="008D20C8" w:rsidRDefault="002D245F" w:rsidP="008C504A">
      <w:pPr>
        <w:pStyle w:val="Heading1"/>
      </w:pPr>
      <w:r>
        <w:rPr>
          <w:lang w:val="fr-FR"/>
          <w:rFonts/>
        </w:rPr>
        <w:t xml:space="preserve">Contenu</w:t>
      </w:r>
    </w:p>
    <w:p w14:paraId="0433086C" w14:textId="54543299" w:rsidR="006D42A4" w:rsidRPr="00915217" w:rsidRDefault="006D42A4" w:rsidP="006D42A4">
      <w:pPr>
        <w:rPr>
          <w:rFonts w:cs="Arial"/>
          <w:szCs w:val="22"/>
          <w:lang w:val="fr-FR"/>
        </w:rPr>
      </w:pPr>
      <w:r>
        <w:rPr>
          <w:lang w:val="fr-FR"/>
          <w:rFonts/>
        </w:rPr>
        <w:t xml:space="preserve">Cette formation comprend sept modules principaux :</w:t>
      </w:r>
    </w:p>
    <w:tbl>
      <w:tblPr>
        <w:tblStyle w:val="GridTable5Dark-Accent41"/>
        <w:tblpPr w:leftFromText="181" w:rightFromText="181" w:vertAnchor="text" w:horzAnchor="margin" w:tblpXSpec="center" w:tblpY="164"/>
        <w:tblOverlap w:val="never"/>
        <w:tblW w:w="927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20" w:firstRow="1" w:lastRow="0" w:firstColumn="0" w:lastColumn="0" w:noHBand="0" w:noVBand="1"/>
      </w:tblPr>
      <w:tblGrid>
        <w:gridCol w:w="1325"/>
        <w:gridCol w:w="1325"/>
        <w:gridCol w:w="1325"/>
        <w:gridCol w:w="1325"/>
        <w:gridCol w:w="1325"/>
        <w:gridCol w:w="1325"/>
        <w:gridCol w:w="1325"/>
      </w:tblGrid>
      <w:tr w:rsidR="00AC30E7" w:rsidRPr="007D7AB2" w14:paraId="2003D4B0" w14:textId="77777777" w:rsidTr="002324BE">
        <w:trPr>
          <w:cnfStyle w:val="100000000000" w:firstRow="1" w:lastRow="0" w:firstColumn="0" w:lastColumn="0" w:oddVBand="0" w:evenVBand="0" w:oddHBand="0" w:evenHBand="0" w:firstRowFirstColumn="0" w:firstRowLastColumn="0" w:lastRowFirstColumn="0" w:lastRowLastColumn="0"/>
          <w:trHeight w:val="820"/>
          <w:jc w:val="center"/>
        </w:trPr>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2A354"/>
          </w:tcPr>
          <w:p w14:paraId="360F3367"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Comprendre les comportements</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39E5D"/>
          </w:tcPr>
          <w:p w14:paraId="0033B895"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Impliquer les parties prenantes</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B959A2"/>
          </w:tcPr>
          <w:p w14:paraId="5B3CEE84"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Produits et services</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2A95B9"/>
          </w:tcPr>
          <w:p w14:paraId="4B97153F"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Créer de la demande</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37C6F4"/>
          </w:tcPr>
          <w:p w14:paraId="7E16EB33"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Développer les capacités</w:t>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68D39"/>
          </w:tcPr>
          <w:p w14:paraId="5049F126"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Finances</w:t>
            </w:r>
            <w:r w:rsidRPr="00391A6E">
              <w:rPr>
                <w:color w:val="FFFFFF"/>
                <w:sz w:val="18"/>
                <w:szCs w:val="18"/>
                <w:shd w:val="clear" w:color="auto" w:fill="F68D39"/>
                <w:lang w:val="fr-FR"/>
                <w:rFonts/>
              </w:rPr>
              <w:t xml:space="preserve"/>
            </w:r>
          </w:p>
        </w:tc>
        <w:tc>
          <w:tcPr>
            <w:tcW w:w="132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0522A"/>
          </w:tcPr>
          <w:p w14:paraId="3FB50EC1" w14:textId="77777777" w:rsidR="00AC30E7" w:rsidRPr="007D7AB2" w:rsidRDefault="00AC30E7" w:rsidP="00AC30E7">
            <w:pPr>
              <w:spacing w:line="240" w:lineRule="exact"/>
              <w:ind w:right="0"/>
              <w:rPr>
                <w:rFonts w:eastAsia="Times New Roman"/>
                <w:color w:val="FFFFFF"/>
                <w:sz w:val="18"/>
                <w:szCs w:val="18"/>
                <w:lang w:val="fr-FR"/>
              </w:rPr>
            </w:pPr>
            <w:r>
              <w:rPr>
                <w:color w:val="FFFFFF"/>
                <w:sz w:val="18"/>
                <w:lang w:val="fr-FR"/>
                <w:rFonts/>
              </w:rPr>
              <w:t xml:space="preserve">Suivi</w:t>
            </w:r>
          </w:p>
        </w:tc>
      </w:tr>
    </w:tbl>
    <w:p w14:paraId="3C77A217" w14:textId="461014AD" w:rsidR="006D42A4" w:rsidRDefault="006D42A4" w:rsidP="006D42A4">
      <w:pPr>
        <w:rPr>
          <w:rFonts w:cs="Arial"/>
          <w:szCs w:val="22"/>
          <w:lang w:val="fr-FR"/>
        </w:rPr>
      </w:pPr>
    </w:p>
    <w:p w14:paraId="559643A6" w14:textId="3A47E362" w:rsidR="00264170" w:rsidRDefault="004314BA" w:rsidP="006D42A4">
      <w:pPr>
        <w:rPr>
          <w:rFonts w:cs="Arial"/>
          <w:szCs w:val="22"/>
          <w:lang w:val="fr-FR"/>
        </w:rPr>
      </w:pPr>
      <w:r>
        <w:rPr>
          <w:lang w:val="fr-FR"/>
          <w:rFonts/>
        </w:rPr>
        <w:t xml:space="preserve">À travers le prisme du changement de comportement, les participants travaillent sur un scénario fictif qui leur permet d'étudier les sept principes clés de la conception de programmes de CTED et d'entrevoir les complexités mais aussi la satisfaction procurées par une planification de programme réussie.</w:t>
      </w:r>
      <w:r>
        <w:rPr>
          <w:lang w:val="fr-FR"/>
          <w:rFonts/>
        </w:rPr>
        <w:t xml:space="preserve"> </w:t>
      </w:r>
    </w:p>
    <w:p w14:paraId="34D6CFCE" w14:textId="08A17163" w:rsidR="006D42A4" w:rsidRPr="00915217" w:rsidRDefault="004314BA" w:rsidP="006D42A4">
      <w:pPr>
        <w:rPr>
          <w:rFonts w:cs="Arial"/>
          <w:szCs w:val="22"/>
          <w:lang w:val="fr-FR"/>
        </w:rPr>
      </w:pPr>
      <w:r>
        <w:rPr>
          <w:lang w:val="fr-FR"/>
          <w:rFonts/>
        </w:rPr>
        <w:t xml:space="preserve">La formation analyse le besoin pour des programmes de CTED qui répondent à l'objectif d'une meilleure couverture et d'une utilisation correcte, constante et continue d'une approche à barrière multiple pour la CTED.</w:t>
      </w:r>
      <w:r>
        <w:rPr>
          <w:lang w:val="fr-FR"/>
          <w:rFonts/>
        </w:rPr>
        <w:t xml:space="preserve"> </w:t>
      </w:r>
    </w:p>
    <w:p w14:paraId="418D0B8E" w14:textId="47A0F170" w:rsidR="00264170" w:rsidRDefault="000825D1" w:rsidP="006D42A4">
      <w:pPr>
        <w:rPr>
          <w:rFonts w:cs="Arial"/>
          <w:szCs w:val="22"/>
          <w:lang w:val="fr-FR"/>
        </w:rPr>
      </w:pPr>
      <w:r>
        <w:rPr>
          <w:lang w:val="fr-FR"/>
          <w:rFonts/>
        </w:rPr>
        <w:t xml:space="preserve">Les participants mettent en pratique les sept composantes requises pour un programme de CTED réussi par le biais de l'apprentissage participatif.</w:t>
      </w:r>
      <w:r>
        <w:rPr>
          <w:lang w:val="fr-FR"/>
          <w:rFonts/>
        </w:rPr>
        <w:t xml:space="preserve"> </w:t>
      </w:r>
      <w:r>
        <w:rPr>
          <w:lang w:val="fr-FR"/>
          <w:rFonts/>
        </w:rPr>
        <w:t xml:space="preserve">Chaque module présente une théorie que les participants appliquent ensuite à leur scénario fictif.</w:t>
      </w:r>
      <w:r>
        <w:rPr>
          <w:lang w:val="fr-FR"/>
          <w:rFonts/>
        </w:rPr>
        <w:t xml:space="preserve"> </w:t>
      </w:r>
      <w:r>
        <w:rPr>
          <w:lang w:val="fr-FR"/>
          <w:rFonts/>
        </w:rPr>
        <w:t xml:space="preserve">Les parties prenantes seront identifiées, les participants choisiront des produits appropriés aux besoins de leur programme, les activités pour créer de la demande seront discutées, les manques de compétences seront identifiés et les décisions sur le financement et le suivi seront prises.</w:t>
      </w:r>
      <w:r>
        <w:rPr>
          <w:lang w:val="fr-FR"/>
          <w:rFonts/>
        </w:rPr>
        <w:t xml:space="preserve"> </w:t>
      </w:r>
    </w:p>
    <w:p w14:paraId="2FEEF0FF" w14:textId="5689D2C5" w:rsidR="006D42A4" w:rsidRDefault="00264170" w:rsidP="006D42A4">
      <w:pPr>
        <w:rPr>
          <w:rFonts w:cs="Arial"/>
          <w:szCs w:val="22"/>
          <w:lang w:val="fr-FR"/>
        </w:rPr>
      </w:pPr>
      <w:r>
        <w:rPr>
          <w:lang w:val="fr-FR"/>
          <w:rFonts/>
        </w:rPr>
        <w:t xml:space="preserve">Au cours de la formation, les cinq phases d'un cadre de programme (analyse, conception, développement, mise en œuvre et suivi) seront utilisées pour illustrer la manière dont les participants peuvent appliquer l'expérience qu'ils vont acquérir à leur travail actuel et futur.</w:t>
      </w:r>
      <w:r>
        <w:rPr>
          <w:lang w:val="fr-FR"/>
          <w:rFonts/>
        </w:rPr>
        <w:t xml:space="preserve"> </w:t>
      </w:r>
    </w:p>
    <w:p w14:paraId="5FB14CFA" w14:textId="5C62C2B1" w:rsidR="00C60C41" w:rsidRDefault="002D245F" w:rsidP="006D42A4">
      <w:pPr>
        <w:pStyle w:val="Heading1"/>
      </w:pPr>
      <w:r>
        <w:rPr>
          <w:lang w:val="fr-FR"/>
          <w:rFonts/>
        </w:rPr>
        <w:t xml:space="preserve">Participants</w:t>
      </w:r>
    </w:p>
    <w:p w14:paraId="10B9D241" w14:textId="3D1BDF5B" w:rsidR="006D42A4" w:rsidRPr="00915217" w:rsidRDefault="0094117D" w:rsidP="006D42A4">
      <w:pPr>
        <w:rPr>
          <w:rFonts w:cs="Arial"/>
          <w:szCs w:val="22"/>
          <w:lang w:val="fr-FR"/>
        </w:rPr>
      </w:pPr>
      <w:r>
        <w:rPr>
          <w:lang w:val="fr-FR"/>
          <w:rFonts/>
        </w:rPr>
        <w:t xml:space="preserve">Les participants idéaux sont des personnes qui sont responsables des prises de décision concernant les programmes de CTED qui sont actuellement en phase de conception, de mise en œuvre ou de planification d'un programme de CTED (gouvernement, société civile, entreprises et organisations non gouvernementales).</w:t>
      </w:r>
      <w:r>
        <w:rPr>
          <w:lang w:val="fr-FR"/>
          <w:rFonts/>
        </w:rPr>
        <w:t xml:space="preserve"> </w:t>
      </w:r>
    </w:p>
    <w:p w14:paraId="335281DB" w14:textId="77777777" w:rsidR="00C60C41" w:rsidRDefault="00C60C41" w:rsidP="00C60C41">
      <w:r>
        <w:rPr>
          <w:lang w:val="fr-FR"/>
          <w:rFonts/>
        </w:rPr>
        <w:t xml:space="preserve">Idéalement, les participants :</w:t>
      </w:r>
    </w:p>
    <w:p w14:paraId="7F4C6EB2" w14:textId="3CEB8AAA" w:rsidR="00C60C41" w:rsidRDefault="008C504A" w:rsidP="00023082">
      <w:pPr>
        <w:pStyle w:val="ListParagraph1"/>
        <w:ind w:left="714" w:right="340" w:hanging="357"/>
      </w:pPr>
      <w:r>
        <w:rPr>
          <w:lang w:val="fr-FR"/>
          <w:rFonts/>
        </w:rPr>
        <w:t xml:space="preserve">Veulent améliorer les vies des autres par la conception de programmes de CTED durables et à fort impact</w:t>
      </w:r>
      <w:r>
        <w:rPr>
          <w:lang w:val="fr-FR"/>
          <w:rFonts/>
        </w:rPr>
        <w:t xml:space="preserve"> </w:t>
      </w:r>
    </w:p>
    <w:p w14:paraId="323F8F16" w14:textId="4CFE64BD" w:rsidR="00C60C41" w:rsidRDefault="008C504A" w:rsidP="00023082">
      <w:pPr>
        <w:pStyle w:val="ListParagraph1"/>
        <w:ind w:left="714" w:right="340" w:hanging="357"/>
      </w:pPr>
      <w:r>
        <w:rPr>
          <w:lang w:val="fr-FR"/>
          <w:rFonts/>
        </w:rPr>
        <w:t xml:space="preserve">Possèdent une expérience dans le domaine de l'eau, l'hygiène et l'assainissement (WASH)</w:t>
      </w:r>
    </w:p>
    <w:p w14:paraId="566B813F" w14:textId="20C4130E" w:rsidR="00E358FB" w:rsidRDefault="00E358FB" w:rsidP="00023082">
      <w:pPr>
        <w:pStyle w:val="ListParagraph1"/>
        <w:ind w:left="714" w:right="340" w:hanging="357"/>
      </w:pPr>
      <w:r>
        <w:rPr>
          <w:lang w:val="fr-FR"/>
          <w:rFonts/>
        </w:rPr>
        <w:t xml:space="preserve">Comprennent les bases de la CTED, de l'approche à barrières multiples et de la qualité de l'eau de boisson</w:t>
      </w:r>
    </w:p>
    <w:p w14:paraId="4B611289" w14:textId="22500189" w:rsidR="00C6201E" w:rsidRDefault="00B64430" w:rsidP="00023082">
      <w:pPr>
        <w:pStyle w:val="ListParagraph1"/>
        <w:ind w:left="714" w:right="340" w:hanging="357"/>
      </w:pPr>
      <w:r>
        <w:rPr>
          <w:lang w:val="fr-FR"/>
          <w:rFonts/>
        </w:rPr>
        <w:t xml:space="preserve">Savent lire et écrire (idéalement au niveau B1)</w:t>
      </w:r>
    </w:p>
    <w:p w14:paraId="6610FFEA" w14:textId="77777777" w:rsidR="00B64430" w:rsidRDefault="00B64430" w:rsidP="00023082">
      <w:pPr>
        <w:pStyle w:val="ListParagraph1"/>
        <w:ind w:left="714" w:right="340" w:hanging="357"/>
      </w:pPr>
      <w:r>
        <w:rPr>
          <w:lang w:val="fr-FR"/>
          <w:rFonts/>
        </w:rPr>
        <w:t xml:space="preserve">Sont heureux de partager leurs expériences et leurs idées</w:t>
      </w:r>
    </w:p>
    <w:p w14:paraId="35368E4C" w14:textId="0A18BF8A" w:rsidR="00C60C41" w:rsidRDefault="003E6603" w:rsidP="00C60C41">
      <w:r>
        <w:rPr>
          <w:lang w:val="fr-FR"/>
          <w:rFonts/>
        </w:rPr>
        <w:t xml:space="preserve">CAWST promeut la diversité et s'engage à créer un environnement d'apprentissage inclusif dans lequel tous les participants partagent leurs expériences et leurs apprentissages mutuels.</w:t>
      </w:r>
      <w:r>
        <w:rPr>
          <w:lang w:val="fr-FR"/>
          <w:rFonts/>
        </w:rPr>
        <w:t xml:space="preserve"> </w:t>
      </w:r>
    </w:p>
    <w:p w14:paraId="4DE7D3A7" w14:textId="77777777" w:rsidR="008202E8" w:rsidRDefault="008202E8" w:rsidP="008202E8">
      <w:pPr>
        <w:pStyle w:val="Heading1"/>
      </w:pPr>
      <w:r>
        <w:rPr>
          <w:lang w:val="fr-FR"/>
          <w:rFonts/>
        </w:rPr>
        <w:t xml:space="preserve">Méthodes d'enseignement</w:t>
      </w:r>
    </w:p>
    <w:p w14:paraId="51AF9704" w14:textId="4FB77B34" w:rsidR="008202E8" w:rsidRDefault="008202E8" w:rsidP="008202E8">
      <w:r>
        <w:rPr>
          <w:lang w:val="fr-FR"/>
          <w:rFonts/>
        </w:rPr>
        <w:t xml:space="preserve">Cette formation comporte des activités, des jeux de rôles, des discussions, des scénarios, des périodes de réflexion personnelle, des présentations et des études de cas.</w:t>
      </w:r>
      <w:r>
        <w:rPr>
          <w:lang w:val="fr-FR"/>
          <w:rFonts/>
        </w:rPr>
        <w:t xml:space="preserve"> </w:t>
      </w:r>
      <w:r>
        <w:rPr>
          <w:lang w:val="fr-FR"/>
          <w:rFonts/>
        </w:rPr>
        <w:t xml:space="preserve">La participation active à toutes les activités d'apprentissage est encouragée.</w:t>
      </w:r>
      <w:r>
        <w:rPr>
          <w:lang w:val="fr-FR"/>
          <w:rFonts/>
        </w:rPr>
        <w:t xml:space="preserve"> </w:t>
      </w:r>
    </w:p>
    <w:p w14:paraId="08FDCEBB" w14:textId="77777777" w:rsidR="00C60C41" w:rsidRDefault="002D245F" w:rsidP="002D245F">
      <w:pPr>
        <w:pStyle w:val="Heading1"/>
      </w:pPr>
      <w:r>
        <w:rPr>
          <w:lang w:val="fr-FR"/>
          <w:rFonts/>
        </w:rPr>
        <w:t xml:space="preserve">Supports de formation</w:t>
      </w:r>
    </w:p>
    <w:p w14:paraId="0BF09C9A" w14:textId="77777777" w:rsidR="00C60C41" w:rsidRDefault="00C60C41" w:rsidP="00C60C41">
      <w:r>
        <w:rPr>
          <w:lang w:val="fr-FR"/>
          <w:rFonts/>
        </w:rPr>
        <w:t xml:space="preserve">Le matériel suivant sera fourni :</w:t>
      </w:r>
      <w:r>
        <w:rPr>
          <w:lang w:val="fr-FR"/>
          <w:rFonts/>
        </w:rPr>
        <w:t xml:space="preserve"> </w:t>
      </w:r>
    </w:p>
    <w:p w14:paraId="28B46A0F" w14:textId="516A5BA2" w:rsidR="00B64430" w:rsidRDefault="00B64430" w:rsidP="00EE44ED">
      <w:pPr>
        <w:pStyle w:val="ListParagraph1"/>
      </w:pPr>
      <w:r>
        <w:rPr>
          <w:lang w:val="fr-FR"/>
          <w:rFonts/>
        </w:rPr>
        <w:t xml:space="preserve">Polycopiés, y compris les cahiers des participants, des dossiers techniques, des activités et des études de cas</w:t>
      </w:r>
    </w:p>
    <w:p w14:paraId="2C557813" w14:textId="5A777083" w:rsidR="00533BA4" w:rsidRDefault="00B64430" w:rsidP="00EE44ED">
      <w:pPr>
        <w:pStyle w:val="ListParagraph1"/>
      </w:pPr>
      <w:r>
        <w:rPr>
          <w:lang w:val="fr-FR"/>
          <w:rFonts/>
        </w:rPr>
        <w:t xml:space="preserve">Accès aux ressources en ligne de CAWST relatives à l'assainissement (fiches techniques, études de cas, dossiers techniques, etc.)</w:t>
      </w:r>
      <w:r>
        <w:rPr>
          <w:lang w:val="fr-FR"/>
          <w:rFonts/>
        </w:rPr>
        <w:t xml:space="preserve"> </w:t>
      </w:r>
    </w:p>
    <w:sectPr w:rsidR="00533BA4" w:rsidSect="00234EC5">
      <w:headerReference w:type="default" r:id="rId9"/>
      <w:footerReference w:type="even" r:id="rId10"/>
      <w:footerReference w:type="default" r:id="rId11"/>
      <w:headerReference w:type="first" r:id="rId12"/>
      <w:footerReference w:type="first" r:id="rId13"/>
      <w:pgSz w:w="11900" w:h="16840" w:code="9"/>
      <w:pgMar w:top="1546" w:right="1327" w:bottom="1440" w:left="1366"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E2835" w14:textId="77777777" w:rsidR="006D3E46" w:rsidRDefault="006D3E46" w:rsidP="00510EBB">
      <w:r>
        <w:rPr>
          <w:lang w:val="fr-FR"/>
          <w:rFonts/>
        </w:rPr>
        <w:separator/>
      </w:r>
    </w:p>
  </w:endnote>
  <w:endnote w:type="continuationSeparator" w:id="0">
    <w:p w14:paraId="0F88BDE2" w14:textId="77777777" w:rsidR="006D3E46" w:rsidRDefault="006D3E46" w:rsidP="00510EBB">
      <w:r>
        <w:rPr>
          <w:lang w:val="fr-FR"/>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C8B8" w14:textId="77777777" w:rsidR="00353B84" w:rsidRDefault="00353B84" w:rsidP="000250E5">
    <w:pPr>
      <w:pStyle w:val="Footer"/>
      <w:framePr w:wrap="none" w:vAnchor="text" w:hAnchor="margin" w:xAlign="right" w:y="1"/>
      <w:rPr>
        <w:rStyle w:val="PageNumber"/>
        <w:lang w:val="fr-FR"/>
        <w:rFonts/>
      </w:rPr>
    </w:pPr>
    <w:r>
      <w:rPr>
        <w:rStyle w:val="PageNumber"/>
        <w:lang w:val="fr-FR"/>
        <w:rFonts/>
      </w:rPr>
      <w:fldChar w:fldCharType="begin"/>
    </w:r>
    <w:r>
      <w:rPr>
        <w:rStyle w:val="PageNumber"/>
        <w:lang w:val="fr-FR"/>
        <w:rFonts/>
      </w:rPr>
      <w:instrText xml:space="preserve">PAGE  </w:instrText>
    </w:r>
    <w:r>
      <w:rPr>
        <w:rStyle w:val="PageNumber"/>
        <w:lang w:val="fr-FR"/>
        <w:rFonts/>
      </w:rPr>
      <w:fldChar w:fldCharType="end"/>
    </w:r>
  </w:p>
  <w:p w14:paraId="760A1BB9" w14:textId="77777777" w:rsidR="00353B84" w:rsidRDefault="00353B84" w:rsidP="00353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2BEF2" w14:textId="412DB6BA" w:rsidR="00353B84" w:rsidRPr="004872B2" w:rsidRDefault="00234EC5" w:rsidP="00C60C41">
    <w:pPr>
      <w:pStyle w:val="Footer"/>
      <w:framePr w:h="631" w:hRule="exact" w:wrap="notBeside" w:vAnchor="text" w:hAnchor="page" w:x="10822" w:y="-29"/>
      <w:spacing w:after="0" w:line="240" w:lineRule="auto"/>
      <w:rPr>
        <w:rStyle w:val="PageNumber"/>
        <w:sz w:val="52"/>
        <w:szCs w:val="52"/>
        <w:lang w:val="fr-FR"/>
        <w:rFonts/>
      </w:rPr>
    </w:pPr>
    <w:r>
      <w:rPr>
        <w:rStyle w:val="PageNumber"/>
        <w:sz w:val="52"/>
        <w:szCs w:val="52"/>
        <w:lang w:val="fr-FR"/>
        <w:rFonts/>
      </w:rPr>
      <w:fldChar w:fldCharType="begin"/>
    </w:r>
    <w:r>
      <w:rPr>
        <w:rStyle w:val="PageNumber"/>
        <w:sz w:val="52"/>
        <w:szCs w:val="52"/>
        <w:lang w:val="fr-FR"/>
        <w:rFonts/>
      </w:rPr>
      <w:instrText xml:space="preserve"> PAGE  \* Arabic </w:instrText>
    </w:r>
    <w:r>
      <w:rPr>
        <w:rStyle w:val="PageNumber"/>
        <w:sz w:val="52"/>
        <w:szCs w:val="52"/>
        <w:lang w:val="fr-FR"/>
        <w:rFonts/>
      </w:rPr>
      <w:fldChar w:fldCharType="separate"/>
    </w:r>
    <w:r w:rsidR="00A3502F">
      <w:rPr>
        <w:rStyle w:val="PageNumber"/>
        <w:sz w:val="52"/>
        <w:szCs w:val="52"/>
        <w:lang w:val="fr-FR"/>
        <w:rFonts/>
      </w:rPr>
      <w:t xml:space="preserve">2</w:t>
    </w:r>
    <w:r>
      <w:rPr>
        <w:rStyle w:val="PageNumber"/>
        <w:sz w:val="52"/>
        <w:szCs w:val="52"/>
        <w:lang w:val="fr-FR"/>
        <w:rFonts/>
      </w:rPr>
      <w:fldChar w:fldCharType="end"/>
    </w:r>
  </w:p>
  <w:p w14:paraId="691417EA" w14:textId="77777777" w:rsidR="00353B84" w:rsidRDefault="00B06998" w:rsidP="00353B84">
    <w:pPr>
      <w:pStyle w:val="Footer"/>
      <w:ind w:right="360"/>
    </w:pPr>
    <w:r>
      <w:rPr>
        <w:lang w:val="fr-FR"/>
        <w:rFonts/>
      </w:rPr>
      <w:drawing>
        <wp:inline distT="0" distB="0" distL="0" distR="0" wp14:anchorId="2572F164" wp14:editId="45A344BF">
          <wp:extent cx="597535" cy="21040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wst_logo--horizontal.emf"/>
                  <pic:cNvPicPr/>
                </pic:nvPicPr>
                <pic:blipFill>
                  <a:blip r:embed="rId1">
                    <a:extLst>
                      <a:ext uri="{28A0092B-C50C-407E-A947-70E740481C1C}">
                        <a14:useLocalDpi xmlns:a14="http://schemas.microsoft.com/office/drawing/2010/main" val="0"/>
                      </a:ext>
                    </a:extLst>
                  </a:blip>
                  <a:stretch>
                    <a:fillRect/>
                  </a:stretch>
                </pic:blipFill>
                <pic:spPr>
                  <a:xfrm>
                    <a:off x="0" y="0"/>
                    <a:ext cx="615093" cy="21658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39F6" w14:textId="77777777" w:rsidR="00353B84" w:rsidRDefault="00353B84" w:rsidP="00353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A3C2B" w14:textId="77777777" w:rsidR="006D3E46" w:rsidRDefault="006D3E46" w:rsidP="00510EBB">
      <w:r>
        <w:rPr>
          <w:lang w:val="fr-FR"/>
          <w:rFonts/>
        </w:rPr>
        <w:separator/>
      </w:r>
    </w:p>
  </w:footnote>
  <w:footnote w:type="continuationSeparator" w:id="0">
    <w:p w14:paraId="0D8F56E3" w14:textId="77777777" w:rsidR="006D3E46" w:rsidRDefault="006D3E46" w:rsidP="00510EBB">
      <w:r>
        <w:rPr>
          <w:lang w:val="fr-FR"/>
          <w:rFont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D0119" w14:textId="28B19E08" w:rsidR="000B537F" w:rsidRPr="00C60C41" w:rsidRDefault="0054341F" w:rsidP="00C60C41">
    <w:pPr>
      <w:pStyle w:val="Header"/>
    </w:pPr>
    <w:r>
      <w:rPr>
        <w:rStyle w:val="HeaderStrong"/>
        <w:lang w:val="fr-FR"/>
        <w:rFonts/>
      </w:rPr>
      <w:t xml:space="preserve">Conception de programmes de CTED</w:t>
    </w:r>
    <w:r w:rsidR="00C60C41">
      <w:rPr>
        <w:lang w:val="fr-FR"/>
        <w:rFonts/>
      </w:rPr>
      <w:t xml:space="preserve">| Aperçu de la 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3C1B0" w14:textId="77777777" w:rsidR="00C60C41" w:rsidRPr="00C60C41" w:rsidRDefault="00B866CD" w:rsidP="00C60C41">
    <w:pPr>
      <w:pStyle w:val="Header"/>
    </w:pPr>
    <w:r>
      <w:rPr>
        <w:lang w:val="fr-FR"/>
        <w:rFonts/>
      </w:rPr>
      <w:drawing>
        <wp:anchor distT="0" distB="0" distL="114300" distR="114300" simplePos="0" relativeHeight="251664384" behindDoc="0" locked="0" layoutInCell="1" allowOverlap="1" wp14:anchorId="23912ECD" wp14:editId="13BD3908">
          <wp:simplePos x="0" y="0"/>
          <wp:positionH relativeFrom="column">
            <wp:posOffset>-16510</wp:posOffset>
          </wp:positionH>
          <wp:positionV relativeFrom="page">
            <wp:posOffset>313690</wp:posOffset>
          </wp:positionV>
          <wp:extent cx="1372235" cy="4890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full.emf"/>
                  <pic:cNvPicPr/>
                </pic:nvPicPr>
                <pic:blipFill>
                  <a:blip r:embed="rId1">
                    <a:extLst>
                      <a:ext uri="{28A0092B-C50C-407E-A947-70E740481C1C}">
                        <a14:useLocalDpi xmlns:a14="http://schemas.microsoft.com/office/drawing/2010/main" val="0"/>
                      </a:ext>
                    </a:extLst>
                  </a:blip>
                  <a:stretch>
                    <a:fillRect/>
                  </a:stretch>
                </pic:blipFill>
                <pic:spPr>
                  <a:xfrm>
                    <a:off x="0" y="0"/>
                    <a:ext cx="1372235" cy="489080"/>
                  </a:xfrm>
                  <a:prstGeom prst="rect">
                    <a:avLst/>
                  </a:prstGeom>
                </pic:spPr>
              </pic:pic>
            </a:graphicData>
          </a:graphic>
          <wp14:sizeRelH relativeFrom="page">
            <wp14:pctWidth>0</wp14:pctWidth>
          </wp14:sizeRelH>
          <wp14:sizeRelV relativeFrom="page">
            <wp14:pctHeight>0</wp14:pctHeight>
          </wp14:sizeRelV>
        </wp:anchor>
      </w:drawing>
    </w:r>
    <w:r>
      <w:rPr>
        <w:lang w:val="fr-FR"/>
        <w:rFonts/>
      </w:rPr>
      <w:t xml:space="preserve">Aperçu de la 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30E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BA0B8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6B636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88E7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AAE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9CAB9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8A15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BA9B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1A44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A003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18BF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55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FA08C9"/>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4"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75074"/>
    <w:multiLevelType w:val="hybridMultilevel"/>
    <w:tmpl w:val="8DCC713E"/>
    <w:lvl w:ilvl="0" w:tplc="D0E0989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4140E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9B3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735C0E"/>
    <w:multiLevelType w:val="hybridMultilevel"/>
    <w:tmpl w:val="54EE9AEE"/>
    <w:lvl w:ilvl="0" w:tplc="22F8FA48">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26"/>
  </w:num>
  <w:num w:numId="5">
    <w:abstractNumId w:val="23"/>
  </w:num>
  <w:num w:numId="6">
    <w:abstractNumId w:val="13"/>
  </w:num>
  <w:num w:numId="7">
    <w:abstractNumId w:val="22"/>
  </w:num>
  <w:num w:numId="8">
    <w:abstractNumId w:val="29"/>
  </w:num>
  <w:num w:numId="9">
    <w:abstractNumId w:val="25"/>
  </w:num>
  <w:num w:numId="10">
    <w:abstractNumId w:val="16"/>
  </w:num>
  <w:num w:numId="11">
    <w:abstractNumId w:val="31"/>
  </w:num>
  <w:num w:numId="12">
    <w:abstractNumId w:val="0"/>
  </w:num>
  <w:num w:numId="13">
    <w:abstractNumId w:val="20"/>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7"/>
  </w:num>
  <w:num w:numId="25">
    <w:abstractNumId w:val="21"/>
  </w:num>
  <w:num w:numId="26">
    <w:abstractNumId w:val="24"/>
  </w:num>
  <w:num w:numId="27">
    <w:abstractNumId w:val="15"/>
  </w:num>
  <w:num w:numId="28">
    <w:abstractNumId w:val="12"/>
  </w:num>
  <w:num w:numId="29">
    <w:abstractNumId w:val="11"/>
  </w:num>
  <w:num w:numId="30">
    <w:abstractNumId w:val="28"/>
  </w:num>
  <w:num w:numId="31">
    <w:abstractNumId w:val="30"/>
  </w:num>
  <w:num w:numId="32">
    <w:abstractNumId w:val="3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B8"/>
    <w:rsid w:val="0000349D"/>
    <w:rsid w:val="0000597A"/>
    <w:rsid w:val="0000632D"/>
    <w:rsid w:val="00014A1A"/>
    <w:rsid w:val="00023082"/>
    <w:rsid w:val="000240B9"/>
    <w:rsid w:val="000250E0"/>
    <w:rsid w:val="0004062B"/>
    <w:rsid w:val="00050585"/>
    <w:rsid w:val="00064664"/>
    <w:rsid w:val="000825D1"/>
    <w:rsid w:val="00085A36"/>
    <w:rsid w:val="00092967"/>
    <w:rsid w:val="000B33C2"/>
    <w:rsid w:val="000B36AE"/>
    <w:rsid w:val="000B537F"/>
    <w:rsid w:val="000C4E47"/>
    <w:rsid w:val="000D4144"/>
    <w:rsid w:val="001106B5"/>
    <w:rsid w:val="001142BC"/>
    <w:rsid w:val="00120ED8"/>
    <w:rsid w:val="00122A1C"/>
    <w:rsid w:val="0012462F"/>
    <w:rsid w:val="00126AA8"/>
    <w:rsid w:val="00134BF0"/>
    <w:rsid w:val="001432FE"/>
    <w:rsid w:val="00166D7F"/>
    <w:rsid w:val="0017420C"/>
    <w:rsid w:val="001759D6"/>
    <w:rsid w:val="0019118A"/>
    <w:rsid w:val="001B15DC"/>
    <w:rsid w:val="001C4A07"/>
    <w:rsid w:val="001D2B1A"/>
    <w:rsid w:val="001D3FAF"/>
    <w:rsid w:val="001D449C"/>
    <w:rsid w:val="001E0441"/>
    <w:rsid w:val="001F09BD"/>
    <w:rsid w:val="001F34CE"/>
    <w:rsid w:val="00202695"/>
    <w:rsid w:val="00226E08"/>
    <w:rsid w:val="00234EC5"/>
    <w:rsid w:val="00235C6C"/>
    <w:rsid w:val="00236D2F"/>
    <w:rsid w:val="00250F82"/>
    <w:rsid w:val="00252508"/>
    <w:rsid w:val="002605EA"/>
    <w:rsid w:val="002607FF"/>
    <w:rsid w:val="00261923"/>
    <w:rsid w:val="00264170"/>
    <w:rsid w:val="00270EFC"/>
    <w:rsid w:val="00277543"/>
    <w:rsid w:val="002805F5"/>
    <w:rsid w:val="00280E15"/>
    <w:rsid w:val="00281503"/>
    <w:rsid w:val="00285CB6"/>
    <w:rsid w:val="00294A6F"/>
    <w:rsid w:val="002B1538"/>
    <w:rsid w:val="002B2E3D"/>
    <w:rsid w:val="002C1767"/>
    <w:rsid w:val="002D245F"/>
    <w:rsid w:val="002D6DC8"/>
    <w:rsid w:val="002E27F8"/>
    <w:rsid w:val="002E39FF"/>
    <w:rsid w:val="002E3A8A"/>
    <w:rsid w:val="002F0588"/>
    <w:rsid w:val="002F18C6"/>
    <w:rsid w:val="002F562E"/>
    <w:rsid w:val="00317371"/>
    <w:rsid w:val="0032798F"/>
    <w:rsid w:val="003361F6"/>
    <w:rsid w:val="00340EEC"/>
    <w:rsid w:val="00343453"/>
    <w:rsid w:val="00346EB8"/>
    <w:rsid w:val="003471BA"/>
    <w:rsid w:val="00353B84"/>
    <w:rsid w:val="003634A1"/>
    <w:rsid w:val="00365FCA"/>
    <w:rsid w:val="00376F79"/>
    <w:rsid w:val="003858E9"/>
    <w:rsid w:val="003947A0"/>
    <w:rsid w:val="003B0DAD"/>
    <w:rsid w:val="003B29FF"/>
    <w:rsid w:val="003C1855"/>
    <w:rsid w:val="003C3972"/>
    <w:rsid w:val="003D5414"/>
    <w:rsid w:val="003E2A3A"/>
    <w:rsid w:val="003E57B8"/>
    <w:rsid w:val="003E6603"/>
    <w:rsid w:val="0040341C"/>
    <w:rsid w:val="0040441C"/>
    <w:rsid w:val="00423C81"/>
    <w:rsid w:val="004314BA"/>
    <w:rsid w:val="00434BF1"/>
    <w:rsid w:val="00453773"/>
    <w:rsid w:val="004611E4"/>
    <w:rsid w:val="004872B2"/>
    <w:rsid w:val="0049151B"/>
    <w:rsid w:val="0049451E"/>
    <w:rsid w:val="00497CE6"/>
    <w:rsid w:val="004B1945"/>
    <w:rsid w:val="004B50D8"/>
    <w:rsid w:val="004D4508"/>
    <w:rsid w:val="00510EBB"/>
    <w:rsid w:val="00521C57"/>
    <w:rsid w:val="00523F7A"/>
    <w:rsid w:val="00533BA4"/>
    <w:rsid w:val="00534CA9"/>
    <w:rsid w:val="0054341F"/>
    <w:rsid w:val="005477F0"/>
    <w:rsid w:val="00561014"/>
    <w:rsid w:val="00574499"/>
    <w:rsid w:val="005826C0"/>
    <w:rsid w:val="005960CC"/>
    <w:rsid w:val="005A3D65"/>
    <w:rsid w:val="005A6613"/>
    <w:rsid w:val="005B2FBC"/>
    <w:rsid w:val="005C659E"/>
    <w:rsid w:val="005E26C3"/>
    <w:rsid w:val="005E6FA5"/>
    <w:rsid w:val="005F2A04"/>
    <w:rsid w:val="005F62FB"/>
    <w:rsid w:val="006034E6"/>
    <w:rsid w:val="00605FB9"/>
    <w:rsid w:val="006222B7"/>
    <w:rsid w:val="00623D4E"/>
    <w:rsid w:val="006245CB"/>
    <w:rsid w:val="006246DB"/>
    <w:rsid w:val="00630811"/>
    <w:rsid w:val="006320FF"/>
    <w:rsid w:val="00637110"/>
    <w:rsid w:val="00642D62"/>
    <w:rsid w:val="006442E7"/>
    <w:rsid w:val="00644996"/>
    <w:rsid w:val="00645316"/>
    <w:rsid w:val="00661702"/>
    <w:rsid w:val="00661C47"/>
    <w:rsid w:val="006641E7"/>
    <w:rsid w:val="00667A79"/>
    <w:rsid w:val="006743FC"/>
    <w:rsid w:val="00686296"/>
    <w:rsid w:val="00691E08"/>
    <w:rsid w:val="00695694"/>
    <w:rsid w:val="006960AE"/>
    <w:rsid w:val="006D24D4"/>
    <w:rsid w:val="006D3E46"/>
    <w:rsid w:val="006D42A4"/>
    <w:rsid w:val="007031BD"/>
    <w:rsid w:val="0071380E"/>
    <w:rsid w:val="00753532"/>
    <w:rsid w:val="00762990"/>
    <w:rsid w:val="007707BA"/>
    <w:rsid w:val="0077622C"/>
    <w:rsid w:val="00780E43"/>
    <w:rsid w:val="0078219E"/>
    <w:rsid w:val="00795763"/>
    <w:rsid w:val="007A7608"/>
    <w:rsid w:val="007B7124"/>
    <w:rsid w:val="007C3581"/>
    <w:rsid w:val="007C3BBE"/>
    <w:rsid w:val="007D23E9"/>
    <w:rsid w:val="007D69A5"/>
    <w:rsid w:val="008029BD"/>
    <w:rsid w:val="008202E8"/>
    <w:rsid w:val="00825E09"/>
    <w:rsid w:val="00827624"/>
    <w:rsid w:val="00836426"/>
    <w:rsid w:val="00843330"/>
    <w:rsid w:val="00850240"/>
    <w:rsid w:val="008513F1"/>
    <w:rsid w:val="00865422"/>
    <w:rsid w:val="00865604"/>
    <w:rsid w:val="00871337"/>
    <w:rsid w:val="008838D5"/>
    <w:rsid w:val="008844F3"/>
    <w:rsid w:val="008850B2"/>
    <w:rsid w:val="00886D88"/>
    <w:rsid w:val="00896CF1"/>
    <w:rsid w:val="00897738"/>
    <w:rsid w:val="008A7998"/>
    <w:rsid w:val="008C504A"/>
    <w:rsid w:val="008C6DB3"/>
    <w:rsid w:val="008F0AEE"/>
    <w:rsid w:val="0091776C"/>
    <w:rsid w:val="009355DE"/>
    <w:rsid w:val="0094117D"/>
    <w:rsid w:val="009412B6"/>
    <w:rsid w:val="00953408"/>
    <w:rsid w:val="0096430D"/>
    <w:rsid w:val="009A53AD"/>
    <w:rsid w:val="009B0821"/>
    <w:rsid w:val="009C4189"/>
    <w:rsid w:val="009C458F"/>
    <w:rsid w:val="009D6BEC"/>
    <w:rsid w:val="009E32CF"/>
    <w:rsid w:val="009E6172"/>
    <w:rsid w:val="009E6447"/>
    <w:rsid w:val="00A00105"/>
    <w:rsid w:val="00A31582"/>
    <w:rsid w:val="00A33218"/>
    <w:rsid w:val="00A3502F"/>
    <w:rsid w:val="00A3549E"/>
    <w:rsid w:val="00A44AD4"/>
    <w:rsid w:val="00A87D89"/>
    <w:rsid w:val="00A937B9"/>
    <w:rsid w:val="00AA1CCE"/>
    <w:rsid w:val="00AB2AE8"/>
    <w:rsid w:val="00AC2412"/>
    <w:rsid w:val="00AC30E7"/>
    <w:rsid w:val="00AF7DA7"/>
    <w:rsid w:val="00B06998"/>
    <w:rsid w:val="00B2197D"/>
    <w:rsid w:val="00B25AEF"/>
    <w:rsid w:val="00B365C1"/>
    <w:rsid w:val="00B64430"/>
    <w:rsid w:val="00B82B38"/>
    <w:rsid w:val="00B84753"/>
    <w:rsid w:val="00B866CD"/>
    <w:rsid w:val="00B9083E"/>
    <w:rsid w:val="00BA02BC"/>
    <w:rsid w:val="00BA0EAB"/>
    <w:rsid w:val="00BA330B"/>
    <w:rsid w:val="00BB0807"/>
    <w:rsid w:val="00BB3793"/>
    <w:rsid w:val="00BC7ABA"/>
    <w:rsid w:val="00BF1F6F"/>
    <w:rsid w:val="00C01012"/>
    <w:rsid w:val="00C03318"/>
    <w:rsid w:val="00C60C41"/>
    <w:rsid w:val="00C6201E"/>
    <w:rsid w:val="00C73881"/>
    <w:rsid w:val="00C915D7"/>
    <w:rsid w:val="00C96EF4"/>
    <w:rsid w:val="00CB60CC"/>
    <w:rsid w:val="00CD3406"/>
    <w:rsid w:val="00CD413B"/>
    <w:rsid w:val="00CD6078"/>
    <w:rsid w:val="00CF3267"/>
    <w:rsid w:val="00CF68E8"/>
    <w:rsid w:val="00D01E85"/>
    <w:rsid w:val="00D041AD"/>
    <w:rsid w:val="00D05C8D"/>
    <w:rsid w:val="00D12CE0"/>
    <w:rsid w:val="00D14BC4"/>
    <w:rsid w:val="00D42D50"/>
    <w:rsid w:val="00D437DB"/>
    <w:rsid w:val="00D5361E"/>
    <w:rsid w:val="00D55F50"/>
    <w:rsid w:val="00D62C35"/>
    <w:rsid w:val="00D84377"/>
    <w:rsid w:val="00D87F92"/>
    <w:rsid w:val="00D96165"/>
    <w:rsid w:val="00DA0006"/>
    <w:rsid w:val="00DA108B"/>
    <w:rsid w:val="00DA45A7"/>
    <w:rsid w:val="00DC6216"/>
    <w:rsid w:val="00DD34A8"/>
    <w:rsid w:val="00DE17EC"/>
    <w:rsid w:val="00DE2D96"/>
    <w:rsid w:val="00DF45CF"/>
    <w:rsid w:val="00E05780"/>
    <w:rsid w:val="00E156EE"/>
    <w:rsid w:val="00E21494"/>
    <w:rsid w:val="00E358FB"/>
    <w:rsid w:val="00E400D5"/>
    <w:rsid w:val="00E424B1"/>
    <w:rsid w:val="00E5602B"/>
    <w:rsid w:val="00E8107D"/>
    <w:rsid w:val="00E86CD4"/>
    <w:rsid w:val="00EA1320"/>
    <w:rsid w:val="00EA1DE2"/>
    <w:rsid w:val="00EB032A"/>
    <w:rsid w:val="00EE44ED"/>
    <w:rsid w:val="00EE77C9"/>
    <w:rsid w:val="00EF1932"/>
    <w:rsid w:val="00EF28BF"/>
    <w:rsid w:val="00F00DF7"/>
    <w:rsid w:val="00F33D12"/>
    <w:rsid w:val="00F35215"/>
    <w:rsid w:val="00F71475"/>
    <w:rsid w:val="00F7354A"/>
    <w:rsid w:val="00F9080F"/>
    <w:rsid w:val="00F91D1B"/>
    <w:rsid w:val="00F93C72"/>
    <w:rsid w:val="00FA2135"/>
    <w:rsid w:val="00FA5AD9"/>
    <w:rsid w:val="00FA79C4"/>
    <w:rsid w:val="00FD61E6"/>
    <w:rsid w:val="00FE05FF"/>
    <w:rsid w:val="00FF2C09"/>
    <w:rsid w:val="00FF54CE"/>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54FA2"/>
  <w14:defaultImageDpi w14:val="330"/>
  <w15:docId w15:val="{28920051-9A8F-496F-9700-D89A1CF1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5A36"/>
    <w:pPr>
      <w:spacing w:after="120" w:line="280" w:lineRule="atLeast"/>
      <w:ind w:right="51"/>
    </w:pPr>
    <w:rPr>
      <w:rFonts w:ascii="Calibri" w:hAnsi="Calibri"/>
      <w:color w:val="404040" w:themeColor="text1"/>
      <w:szCs w:val="20"/>
      <w:lang w:val="fr-FR"/>
    </w:rPr>
  </w:style>
  <w:style w:type="paragraph" w:styleId="Heading1">
    <w:name w:val="heading 1"/>
    <w:basedOn w:val="Normal"/>
    <w:next w:val="Normal"/>
    <w:link w:val="Heading1Char"/>
    <w:uiPriority w:val="2"/>
    <w:qFormat/>
    <w:rsid w:val="00A00105"/>
    <w:pPr>
      <w:pBdr>
        <w:top w:val="single" w:sz="18" w:space="2" w:color="F2F2F2" w:themeColor="background1" w:themeShade="F2"/>
      </w:pBdr>
      <w:spacing w:before="480" w:line="220" w:lineRule="atLeast"/>
      <w:ind w:right="0"/>
      <w:jc w:val="both"/>
      <w:outlineLvl w:val="0"/>
    </w:pPr>
    <w:rPr>
      <w:rFonts w:eastAsia="Times New Roman" w:cs="Times New Roman"/>
      <w:bCs/>
      <w:color w:val="0BA3D4" w:themeColor="background2" w:themeShade="BF"/>
      <w:spacing w:val="-5"/>
      <w:sz w:val="36"/>
    </w:rPr>
  </w:style>
  <w:style w:type="paragraph" w:styleId="Heading2">
    <w:name w:val="heading 2"/>
    <w:basedOn w:val="Normal"/>
    <w:next w:val="Normal"/>
    <w:link w:val="Heading2Char"/>
    <w:uiPriority w:val="2"/>
    <w:qFormat/>
    <w:rsid w:val="002D245F"/>
    <w:pPr>
      <w:spacing w:before="240" w:after="60" w:line="240" w:lineRule="auto"/>
      <w:ind w:right="0"/>
      <w:outlineLvl w:val="1"/>
    </w:pPr>
    <w:rPr>
      <w:rFonts w:eastAsia="Times New Roman" w:cs="Times New Roman"/>
      <w:spacing w:val="-5"/>
      <w:sz w:val="32"/>
    </w:rPr>
  </w:style>
  <w:style w:type="paragraph" w:styleId="Heading3">
    <w:name w:val="heading 3"/>
    <w:basedOn w:val="Normal"/>
    <w:next w:val="Normal"/>
    <w:link w:val="Heading3Char"/>
    <w:uiPriority w:val="2"/>
    <w:qFormat/>
    <w:rsid w:val="00A00105"/>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2D245F"/>
    <w:pPr>
      <w:keepNext/>
      <w:keepLines/>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C41"/>
    <w:pPr>
      <w:tabs>
        <w:tab w:val="center" w:pos="4320"/>
        <w:tab w:val="right" w:pos="8640"/>
      </w:tabs>
      <w:jc w:val="right"/>
    </w:pPr>
    <w:rPr>
      <w:color w:val="8C8C8C" w:themeColor="text1" w:themeTint="99"/>
    </w:rPr>
  </w:style>
  <w:style w:type="character" w:customStyle="1" w:styleId="HeaderChar">
    <w:name w:val="Header Char"/>
    <w:basedOn w:val="DefaultParagraphFont"/>
    <w:link w:val="Header"/>
    <w:uiPriority w:val="99"/>
    <w:rsid w:val="00C60C41"/>
    <w:rPr>
      <w:rFonts w:ascii="Calibri" w:hAnsi="Calibri"/>
      <w:color w:val="8C8C8C" w:themeColor="text1" w:themeTint="99"/>
      <w:szCs w:val="20"/>
      <w:lang w:val="fr-FR"/>
    </w:rPr>
  </w:style>
  <w:style w:type="paragraph" w:styleId="Footer">
    <w:name w:val="footer"/>
    <w:basedOn w:val="Normal"/>
    <w:link w:val="FooterChar"/>
    <w:uiPriority w:val="99"/>
    <w:unhideWhenUsed/>
    <w:rsid w:val="005826C0"/>
    <w:pPr>
      <w:tabs>
        <w:tab w:val="center" w:pos="4320"/>
        <w:tab w:val="right" w:pos="8640"/>
      </w:tabs>
    </w:pPr>
  </w:style>
  <w:style w:type="character" w:customStyle="1" w:styleId="FooterChar">
    <w:name w:val="Footer Char"/>
    <w:basedOn w:val="DefaultParagraphFont"/>
    <w:link w:val="Footer"/>
    <w:uiPriority w:val="99"/>
    <w:rsid w:val="000B33C2"/>
    <w:rPr>
      <w:rFonts w:asciiTheme="majorHAnsi" w:hAnsiTheme="majorHAnsi"/>
      <w:color w:val="6F6F6F" w:themeColor="text1" w:themeTint="BF"/>
      <w:szCs w:val="20"/>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6320FF"/>
    <w:rPr>
      <w:rFonts w:ascii="Calibri" w:eastAsia="Times New Roman" w:hAnsi="Calibri" w:cs="Times New Roman"/>
      <w:bCs/>
      <w:color w:val="0BA3D4" w:themeColor="background2" w:themeShade="BF"/>
      <w:spacing w:val="-5"/>
      <w:sz w:val="36"/>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1D2B1A"/>
    <w:pPr>
      <w:spacing w:after="240" w:line="240" w:lineRule="auto"/>
      <w:ind w:right="-374"/>
    </w:pPr>
    <w:rPr>
      <w:rFonts w:eastAsiaTheme="majorEastAsia" w:cs="Calibri"/>
      <w:color w:val="005478"/>
      <w:spacing w:val="5"/>
      <w:kern w:val="28"/>
      <w:sz w:val="48"/>
      <w:szCs w:val="48"/>
      <w:lang w:val="fr-FR"/>
    </w:rPr>
  </w:style>
  <w:style w:type="character" w:customStyle="1" w:styleId="TitleChar">
    <w:name w:val="Title Char"/>
    <w:basedOn w:val="DefaultParagraphFont"/>
    <w:link w:val="Title"/>
    <w:uiPriority w:val="1"/>
    <w:rsid w:val="001D2B1A"/>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ind w:right="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2D245F"/>
    <w:rPr>
      <w:rFonts w:ascii="Calibri" w:eastAsia="Times New Roman" w:hAnsi="Calibri" w:cs="Times New Roman"/>
      <w:color w:val="404040" w:themeColor="text1"/>
      <w:spacing w:val="-5"/>
      <w:sz w:val="3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400D5"/>
    <w:rPr>
      <w:rFonts w:ascii="Calibri" w:hAnsi="Calibri"/>
      <w:color w:val="404040" w:themeColor="text1"/>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TableHead">
    <w:name w:val="Table Head"/>
    <w:basedOn w:val="AlternateFact"/>
    <w:uiPriority w:val="2"/>
    <w:qFormat/>
    <w:rsid w:val="00D84377"/>
    <w:pPr>
      <w:pBdr>
        <w:bottom w:val="single" w:sz="4" w:space="1" w:color="auto"/>
      </w:pBdr>
    </w:pPr>
    <w:rPr>
      <w:b/>
      <w:i w:val="0"/>
      <w:sz w:val="24"/>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1D2B1A"/>
    <w:pPr>
      <w:ind w:left="714" w:hanging="357"/>
      <w:contextualSpacing/>
    </w:pPr>
  </w:style>
  <w:style w:type="paragraph" w:styleId="TOC2">
    <w:name w:val="toc 2"/>
    <w:basedOn w:val="Normal"/>
    <w:next w:val="Normal"/>
    <w:autoRedefine/>
    <w:uiPriority w:val="39"/>
    <w:unhideWhenUsed/>
    <w:rsid w:val="003947A0"/>
    <w:pPr>
      <w:spacing w:before="120" w:after="0"/>
      <w:ind w:left="510" w:right="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 w:val="22"/>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line="240" w:lineRule="auto"/>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D84377"/>
    <w:pPr>
      <w:ind w:right="51"/>
    </w:pPr>
    <w:rPr>
      <w:rFonts w:ascii="Calibri" w:hAnsi="Calibri"/>
      <w:color w:val="404040" w:themeColor="text1"/>
      <w:szCs w:val="20"/>
    </w:rPr>
  </w:style>
  <w:style w:type="character" w:styleId="Strong">
    <w:name w:val="Strong"/>
    <w:basedOn w:val="DefaultParagraphFont"/>
    <w:uiPriority w:val="22"/>
    <w:unhideWhenUsed/>
    <w:qFormat/>
    <w:rsid w:val="00C60C41"/>
    <w:rPr>
      <w:b/>
      <w:bCs/>
      <w:color w:val="auto"/>
    </w:rPr>
  </w:style>
  <w:style w:type="character" w:customStyle="1" w:styleId="HeaderStrong">
    <w:name w:val="Header: Strong"/>
    <w:basedOn w:val="DefaultParagraphFont"/>
    <w:uiPriority w:val="1"/>
    <w:qFormat/>
    <w:rsid w:val="00C60C41"/>
    <w:rPr>
      <w:b/>
      <w:color w:val="8C8C8C" w:themeColor="text1" w:themeTint="99"/>
    </w:rPr>
  </w:style>
  <w:style w:type="paragraph" w:customStyle="1" w:styleId="Heading2Subheader">
    <w:name w:val="Heading 2: Subheader"/>
    <w:basedOn w:val="Normal"/>
    <w:qFormat/>
    <w:rsid w:val="002D245F"/>
    <w:pPr>
      <w:spacing w:line="240" w:lineRule="auto"/>
    </w:pPr>
    <w:rPr>
      <w:color w:val="8C8C8C" w:themeColor="text1" w:themeTint="99"/>
    </w:rPr>
  </w:style>
  <w:style w:type="paragraph" w:styleId="Caption">
    <w:name w:val="caption"/>
    <w:basedOn w:val="Normal"/>
    <w:next w:val="Normal"/>
    <w:uiPriority w:val="35"/>
    <w:unhideWhenUsed/>
    <w:qFormat/>
    <w:rsid w:val="002F0588"/>
    <w:pPr>
      <w:spacing w:after="200" w:line="240" w:lineRule="auto"/>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spacing w:line="240" w:lineRule="auto"/>
      <w:ind w:left="284" w:hanging="284"/>
    </w:pPr>
  </w:style>
  <w:style w:type="table" w:styleId="PlainTable3">
    <w:name w:val="Plain Table 3"/>
    <w:basedOn w:val="TableNormal"/>
    <w:uiPriority w:val="43"/>
    <w:rsid w:val="00AC2412"/>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paragraph" w:customStyle="1" w:styleId="LengthofWorkshop">
    <w:name w:val="Length of Workshop"/>
    <w:basedOn w:val="Normal"/>
    <w:qFormat/>
    <w:rsid w:val="002D245F"/>
    <w:rPr>
      <w:b/>
      <w:bCs/>
      <w:color w:val="8C8C8C" w:themeColor="text1" w:themeTint="99"/>
      <w:sz w:val="28"/>
    </w:rPr>
  </w:style>
  <w:style w:type="character" w:styleId="CommentReference">
    <w:name w:val="annotation reference"/>
    <w:basedOn w:val="DefaultParagraphFont"/>
    <w:uiPriority w:val="99"/>
    <w:semiHidden/>
    <w:unhideWhenUsed/>
    <w:rsid w:val="000240B9"/>
    <w:rPr>
      <w:sz w:val="16"/>
      <w:szCs w:val="16"/>
    </w:rPr>
  </w:style>
  <w:style w:type="paragraph" w:styleId="CommentText">
    <w:name w:val="annotation text"/>
    <w:basedOn w:val="Normal"/>
    <w:link w:val="CommentTextChar"/>
    <w:uiPriority w:val="99"/>
    <w:unhideWhenUsed/>
    <w:rsid w:val="000240B9"/>
    <w:pPr>
      <w:spacing w:before="120" w:after="240" w:line="240" w:lineRule="auto"/>
    </w:pPr>
    <w:rPr>
      <w:color w:val="202020" w:themeColor="text1" w:themeShade="80"/>
      <w:sz w:val="20"/>
    </w:rPr>
  </w:style>
  <w:style w:type="character" w:customStyle="1" w:styleId="CommentTextChar">
    <w:name w:val="Comment Text Char"/>
    <w:basedOn w:val="DefaultParagraphFont"/>
    <w:link w:val="CommentText"/>
    <w:uiPriority w:val="99"/>
    <w:rsid w:val="000240B9"/>
    <w:rPr>
      <w:rFonts w:ascii="Calibri" w:hAnsi="Calibri"/>
      <w:color w:val="202020" w:themeColor="text1" w:themeShade="80"/>
      <w:sz w:val="20"/>
      <w:szCs w:val="20"/>
      <w:lang w:val="fr-FR"/>
    </w:rPr>
  </w:style>
  <w:style w:type="table" w:customStyle="1" w:styleId="GridTable5Dark-Accent41">
    <w:name w:val="Grid Table 5 Dark - Accent 41"/>
    <w:basedOn w:val="TableNormal"/>
    <w:next w:val="GridTable5Dark-Accent4"/>
    <w:uiPriority w:val="50"/>
    <w:rsid w:val="000240B9"/>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4">
    <w:name w:val="Grid Table 5 Dark Accent 4"/>
    <w:basedOn w:val="TableNormal"/>
    <w:uiPriority w:val="50"/>
    <w:rsid w:val="000240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C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56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56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56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563C" w:themeFill="accent4"/>
      </w:tcPr>
    </w:tblStylePr>
    <w:tblStylePr w:type="band1Vert">
      <w:tblPr/>
      <w:tcPr>
        <w:shd w:val="clear" w:color="auto" w:fill="F7BBB0" w:themeFill="accent4" w:themeFillTint="66"/>
      </w:tcPr>
    </w:tblStylePr>
    <w:tblStylePr w:type="band1Horz">
      <w:tblPr/>
      <w:tcPr>
        <w:shd w:val="clear" w:color="auto" w:fill="F7BBB0" w:themeFill="accent4" w:themeFillTint="66"/>
      </w:tcPr>
    </w:tblStylePr>
  </w:style>
  <w:style w:type="paragraph" w:styleId="CommentSubject">
    <w:name w:val="annotation subject"/>
    <w:basedOn w:val="CommentText"/>
    <w:next w:val="CommentText"/>
    <w:link w:val="CommentSubjectChar"/>
    <w:uiPriority w:val="99"/>
    <w:semiHidden/>
    <w:unhideWhenUsed/>
    <w:rsid w:val="00317371"/>
    <w:pPr>
      <w:spacing w:before="0" w:after="120"/>
    </w:pPr>
    <w:rPr>
      <w:b/>
      <w:bCs/>
      <w:color w:val="404040" w:themeColor="text1"/>
    </w:rPr>
  </w:style>
  <w:style w:type="character" w:customStyle="1" w:styleId="CommentSubjectChar">
    <w:name w:val="Comment Subject Char"/>
    <w:basedOn w:val="CommentTextChar"/>
    <w:link w:val="CommentSubject"/>
    <w:uiPriority w:val="99"/>
    <w:semiHidden/>
    <w:rsid w:val="00317371"/>
    <w:rPr>
      <w:rFonts w:ascii="Calibri" w:hAnsi="Calibri"/>
      <w:b/>
      <w:bCs/>
      <w:color w:val="404040" w:themeColor="text1"/>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Relationships xmlns="http://schemas.openxmlformats.org/package/2006/relationships"><Relationship Id="rId1" Type="http://schemas.openxmlformats.org/officeDocument/2006/relationships/image" Target="media/image2.emf"/></Relationships>
</file>

<file path=word/_rels/header2.xml.rels><?xml version="1.0" encoding="utf-8"?>
<Relationships xmlns="http://schemas.openxmlformats.org/package/2006/relationships"><Relationship Id="rId1" Type="http://schemas.openxmlformats.org/officeDocument/2006/relationships/image" Target="media/image3.emf"/></Relationships>
</file>

<file path=word/_rels/settings.xml.rels><?xml version="1.0" encoding="utf-8"?>
<Relationships xmlns="http://schemas.openxmlformats.org/package/2006/relationships"><Relationship Id="rId1" Type="http://schemas.openxmlformats.org/officeDocument/2006/relationships/attachedTemplate" Target="file:///C:\Users\vmasterson\Desktop\Template_Workshop_Outline___MT_DRAFT.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D313-DA77-41E0-BD03-BAB4D13A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Template_Workshop_Outline___MT_DRAFT.dotx</Template>
  <TotalTime>47</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Masterson</dc:creator>
  <cp:keywords/>
  <dc:description/>
  <cp:lastModifiedBy>Becky Morante</cp:lastModifiedBy>
  <cp:revision>13</cp:revision>
  <cp:lastPrinted>2017-03-01T20:59:00Z</cp:lastPrinted>
  <dcterms:created xsi:type="dcterms:W3CDTF">2019-11-02T19:14:00Z</dcterms:created>
  <dcterms:modified xsi:type="dcterms:W3CDTF">2020-06-24T17:17:00Z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