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7614" w14:textId="72E29393" w:rsidR="00EB0679" w:rsidRPr="00120811" w:rsidRDefault="003C12AF" w:rsidP="00EB0679">
      <w:pPr>
        <w:pStyle w:val="Title"/>
      </w:pPr>
      <w:r w:rsidRPr="00120811">
        <w:t>Filtre Cerâmica Stéfani Flex</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120811" w14:paraId="0C3C9586" w14:textId="77777777" w:rsidTr="00F27918">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120811" w:rsidRDefault="00345C5E" w:rsidP="00560D63">
            <w:pPr>
              <w:pStyle w:val="MBATableText"/>
            </w:pPr>
            <w:r w:rsidRPr="00120811">
              <w:t>Protection du point d'eau</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120811" w:rsidRDefault="00345C5E" w:rsidP="00560D63">
            <w:pPr>
              <w:pStyle w:val="MBATableText"/>
            </w:pPr>
            <w:r w:rsidRPr="00120811">
              <w:t>Transport hygiénique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120811" w:rsidRDefault="00345C5E" w:rsidP="00560D63">
            <w:pPr>
              <w:pStyle w:val="MBATableText"/>
            </w:pPr>
            <w:r w:rsidRPr="00120811">
              <w:t>Sédimentation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0ED81809" w14:textId="77777777" w:rsidR="00345C5E" w:rsidRPr="00120811" w:rsidRDefault="00345C5E" w:rsidP="00560D63">
            <w:pPr>
              <w:pStyle w:val="MBATableText-Selected"/>
              <w:rPr>
                <w:noProof w:val="0"/>
              </w:rPr>
            </w:pPr>
            <w:r w:rsidRPr="00120811">
              <w:rPr>
                <w:noProof w:val="0"/>
              </w:rPr>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EB743" w14:textId="77777777" w:rsidR="00345C5E" w:rsidRPr="00120811" w:rsidRDefault="00345C5E" w:rsidP="00560D63">
            <w:pPr>
              <w:pStyle w:val="MBATableText"/>
            </w:pPr>
            <w:r w:rsidRPr="00120811">
              <w:t>Désinfection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8D8D8" w:themeFill="text1" w:themeFillTint="33"/>
            <w:vAlign w:val="center"/>
          </w:tcPr>
          <w:p w14:paraId="1C693C57" w14:textId="77777777" w:rsidR="00345C5E" w:rsidRPr="00120811" w:rsidRDefault="00345C5E" w:rsidP="00080A29">
            <w:pPr>
              <w:pStyle w:val="MBATableText-Selected"/>
              <w:rPr>
                <w:noProof w:val="0"/>
              </w:rPr>
            </w:pPr>
            <w:r w:rsidRPr="00120811">
              <w:rPr>
                <w:noProof w:val="0"/>
              </w:rPr>
              <w:t>Conservation hygiénique</w:t>
            </w:r>
          </w:p>
        </w:tc>
      </w:tr>
    </w:tbl>
    <w:p w14:paraId="0B40E6D6" w14:textId="441EFA1F" w:rsidR="00510EBB" w:rsidRPr="00120811" w:rsidRDefault="00DA0C2A" w:rsidP="00A45B29">
      <w:pPr>
        <w:pStyle w:val="Heading1"/>
      </w:pPr>
      <w:r w:rsidRPr="00120811">
        <w:drawing>
          <wp:anchor distT="0" distB="0" distL="114300" distR="114300" simplePos="0" relativeHeight="251681280" behindDoc="0" locked="0" layoutInCell="1" allowOverlap="1" wp14:anchorId="272DDE42" wp14:editId="2E21442F">
            <wp:simplePos x="0" y="0"/>
            <wp:positionH relativeFrom="column">
              <wp:posOffset>5262880</wp:posOffset>
            </wp:positionH>
            <wp:positionV relativeFrom="page">
              <wp:posOffset>2051685</wp:posOffset>
            </wp:positionV>
            <wp:extent cx="1428115" cy="2499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EPD Media/1 - Images/Object/HWT/BSF_cutout.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8115" cy="2499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0811">
        <w:t>De quoi s'agit-il ?</w:t>
      </w:r>
    </w:p>
    <w:p w14:paraId="53E45936" w14:textId="521A590E" w:rsidR="00D338CE" w:rsidRPr="00120811" w:rsidRDefault="003C12AF" w:rsidP="00121E61">
      <w:pPr>
        <w:rPr>
          <w:sz w:val="21"/>
          <w:szCs w:val="21"/>
        </w:rPr>
      </w:pPr>
      <w:r w:rsidRPr="00120811">
        <w:rPr>
          <w:sz w:val="21"/>
          <w:szCs w:val="21"/>
        </w:rPr>
        <w:t xml:space="preserve">Le filtre Flex de Cerâmica Stéfani est un filtre de table produit au Brésil par Cerâmica Stéfani S.A. Le filtre Flex distribué sur le marché international comporte une ou deux cartouches Stéfani stérilisatrices en céramique, un flotteur pour chaque cartouche, deux récipients de 6 litres, un robinet, et le matériel nécessaire pour l'installation. Les cartouches (ou bougies) en céramique sont recouvertes d'argent colloïdal sur leur face interne, et contiennent du charbon actif. </w:t>
      </w:r>
    </w:p>
    <w:p w14:paraId="7A3F52AB" w14:textId="77777777" w:rsidR="00AA1CCE" w:rsidRPr="00120811" w:rsidRDefault="00FC0B37" w:rsidP="00B9649E">
      <w:pPr>
        <w:pStyle w:val="Heading1"/>
      </w:pPr>
      <w:r w:rsidRPr="00120811">
        <w:t>Efficacité</w:t>
      </w:r>
    </w:p>
    <w:p w14:paraId="6A535318" w14:textId="77777777" w:rsidR="004D674B" w:rsidRPr="00120811" w:rsidRDefault="004D674B" w:rsidP="00120811">
      <w:pPr>
        <w:pStyle w:val="Heading2"/>
        <w:spacing w:before="0"/>
        <w:rPr>
          <w:sz w:val="21"/>
          <w:szCs w:val="21"/>
        </w:rPr>
      </w:pPr>
      <w:r w:rsidRPr="00120811">
        <w:rPr>
          <w:sz w:val="21"/>
          <w:szCs w:val="21"/>
        </w:rPr>
        <w:t>Efficacité microbiologique</w:t>
      </w:r>
    </w:p>
    <w:tbl>
      <w:tblPr>
        <w:tblStyle w:val="PlainTable3"/>
        <w:tblW w:w="7938" w:type="dxa"/>
        <w:tblLook w:val="0420" w:firstRow="1" w:lastRow="0" w:firstColumn="0" w:lastColumn="0" w:noHBand="0" w:noVBand="1"/>
      </w:tblPr>
      <w:tblGrid>
        <w:gridCol w:w="4102"/>
        <w:gridCol w:w="3836"/>
      </w:tblGrid>
      <w:tr w:rsidR="00EB0679" w:rsidRPr="00120811" w14:paraId="0B257242" w14:textId="77777777" w:rsidTr="007A10B6">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19A7ABFE" w14:textId="77777777" w:rsidR="004D674B" w:rsidRPr="00120811" w:rsidRDefault="004D674B" w:rsidP="00163EEA">
            <w:pPr>
              <w:pStyle w:val="NoSpacing"/>
              <w:rPr>
                <w:sz w:val="20"/>
              </w:rPr>
            </w:pPr>
            <w:r w:rsidRPr="00120811">
              <w:rPr>
                <w:sz w:val="20"/>
              </w:rPr>
              <w:t>Paramètre</w:t>
            </w:r>
          </w:p>
        </w:tc>
        <w:tc>
          <w:tcPr>
            <w:tcW w:w="3836" w:type="dxa"/>
          </w:tcPr>
          <w:p w14:paraId="507DF4CE" w14:textId="77777777" w:rsidR="004D674B" w:rsidRPr="00120811" w:rsidRDefault="004D674B" w:rsidP="00163EEA">
            <w:pPr>
              <w:pStyle w:val="NoSpacing"/>
              <w:rPr>
                <w:sz w:val="20"/>
              </w:rPr>
            </w:pPr>
            <w:r w:rsidRPr="00120811">
              <w:rPr>
                <w:sz w:val="20"/>
              </w:rPr>
              <w:t>Efficacité</w:t>
            </w:r>
          </w:p>
        </w:tc>
      </w:tr>
      <w:tr w:rsidR="00EB0679" w:rsidRPr="00120811" w14:paraId="72C06D5F" w14:textId="77777777" w:rsidTr="007A10B6">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120811" w:rsidRDefault="004D674B" w:rsidP="00163EEA">
            <w:pPr>
              <w:pStyle w:val="NoSpacing"/>
              <w:rPr>
                <w:sz w:val="20"/>
              </w:rPr>
            </w:pPr>
            <w:r w:rsidRPr="00120811">
              <w:rPr>
                <w:sz w:val="20"/>
              </w:rPr>
              <w:t>Bactéries</w:t>
            </w:r>
          </w:p>
        </w:tc>
        <w:tc>
          <w:tcPr>
            <w:tcW w:w="3836" w:type="dxa"/>
          </w:tcPr>
          <w:p w14:paraId="40E02A38" w14:textId="76E02AD9" w:rsidR="004D674B" w:rsidRPr="00120811" w:rsidRDefault="00F27918" w:rsidP="00163EEA">
            <w:pPr>
              <w:pStyle w:val="NoSpacing"/>
              <w:rPr>
                <w:sz w:val="20"/>
              </w:rPr>
            </w:pPr>
            <w:r w:rsidRPr="00120811">
              <w:rPr>
                <w:sz w:val="20"/>
              </w:rPr>
              <w:t>Très efficace (&gt;99%)</w:t>
            </w:r>
          </w:p>
        </w:tc>
      </w:tr>
      <w:tr w:rsidR="00EB0679" w:rsidRPr="00120811" w14:paraId="1701B17F" w14:textId="77777777" w:rsidTr="007A10B6">
        <w:trPr>
          <w:trHeight w:val="263"/>
        </w:trPr>
        <w:tc>
          <w:tcPr>
            <w:tcW w:w="0" w:type="auto"/>
          </w:tcPr>
          <w:p w14:paraId="5B30DD35" w14:textId="77777777" w:rsidR="004D674B" w:rsidRPr="00120811" w:rsidRDefault="004D674B" w:rsidP="00163EEA">
            <w:pPr>
              <w:pStyle w:val="NoSpacing"/>
              <w:rPr>
                <w:sz w:val="20"/>
              </w:rPr>
            </w:pPr>
            <w:r w:rsidRPr="00120811">
              <w:rPr>
                <w:sz w:val="20"/>
              </w:rPr>
              <w:t>Virus</w:t>
            </w:r>
          </w:p>
        </w:tc>
        <w:tc>
          <w:tcPr>
            <w:tcW w:w="3836" w:type="dxa"/>
          </w:tcPr>
          <w:p w14:paraId="7CA3124B" w14:textId="0391B674" w:rsidR="004D674B" w:rsidRPr="00120811" w:rsidRDefault="00F27918" w:rsidP="00163EEA">
            <w:pPr>
              <w:pStyle w:val="NoSpacing"/>
              <w:rPr>
                <w:sz w:val="20"/>
              </w:rPr>
            </w:pPr>
            <w:r w:rsidRPr="00120811">
              <w:rPr>
                <w:sz w:val="20"/>
              </w:rPr>
              <w:t>Pas d'analyses indépendantes</w:t>
            </w:r>
          </w:p>
        </w:tc>
      </w:tr>
      <w:tr w:rsidR="00EB0679" w:rsidRPr="00120811" w14:paraId="0B060138" w14:textId="77777777" w:rsidTr="007A10B6">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162F3D1B" w:rsidR="004D674B" w:rsidRPr="00120811" w:rsidRDefault="003C12AF" w:rsidP="00163EEA">
            <w:pPr>
              <w:pStyle w:val="NoSpacing"/>
              <w:rPr>
                <w:sz w:val="20"/>
              </w:rPr>
            </w:pPr>
            <w:r w:rsidRPr="00120811">
              <w:rPr>
                <w:sz w:val="20"/>
              </w:rPr>
              <w:t>Protozoaires</w:t>
            </w:r>
          </w:p>
        </w:tc>
        <w:tc>
          <w:tcPr>
            <w:tcW w:w="3836" w:type="dxa"/>
          </w:tcPr>
          <w:p w14:paraId="0DB59AF2" w14:textId="3E2DA195" w:rsidR="004D674B" w:rsidRPr="00120811" w:rsidRDefault="004D674B" w:rsidP="003C12AF">
            <w:pPr>
              <w:pStyle w:val="NoSpacing"/>
              <w:rPr>
                <w:sz w:val="20"/>
              </w:rPr>
            </w:pPr>
            <w:r w:rsidRPr="00120811">
              <w:rPr>
                <w:sz w:val="20"/>
              </w:rPr>
              <w:t>Très efficace*</w:t>
            </w:r>
          </w:p>
        </w:tc>
      </w:tr>
      <w:tr w:rsidR="00EB0679" w:rsidRPr="00120811" w14:paraId="16922F24" w14:textId="77777777" w:rsidTr="007A10B6">
        <w:trPr>
          <w:trHeight w:val="250"/>
        </w:trPr>
        <w:tc>
          <w:tcPr>
            <w:tcW w:w="0" w:type="auto"/>
          </w:tcPr>
          <w:p w14:paraId="7B5AAB10" w14:textId="38497144" w:rsidR="00F33DDE" w:rsidRPr="00120811" w:rsidRDefault="00F33DDE" w:rsidP="00163EEA">
            <w:pPr>
              <w:pStyle w:val="NoSpacing"/>
              <w:rPr>
                <w:sz w:val="20"/>
              </w:rPr>
            </w:pPr>
            <w:r w:rsidRPr="00120811">
              <w:rPr>
                <w:sz w:val="20"/>
              </w:rPr>
              <w:t>Helminthes</w:t>
            </w:r>
          </w:p>
        </w:tc>
        <w:tc>
          <w:tcPr>
            <w:tcW w:w="3836" w:type="dxa"/>
          </w:tcPr>
          <w:p w14:paraId="60617A00" w14:textId="51D32CB2" w:rsidR="00F33DDE" w:rsidRPr="00120811" w:rsidRDefault="00F27918" w:rsidP="003C12AF">
            <w:pPr>
              <w:pStyle w:val="NoSpacing"/>
              <w:rPr>
                <w:sz w:val="20"/>
              </w:rPr>
            </w:pPr>
            <w:r w:rsidRPr="00120811">
              <w:rPr>
                <w:sz w:val="20"/>
              </w:rPr>
              <w:t>Très efficace*</w:t>
            </w:r>
          </w:p>
        </w:tc>
      </w:tr>
    </w:tbl>
    <w:p w14:paraId="01272317" w14:textId="02F9F976" w:rsidR="003C12AF" w:rsidRPr="00120811" w:rsidRDefault="003C12AF" w:rsidP="00120811">
      <w:pPr>
        <w:pStyle w:val="Caption"/>
        <w:spacing w:after="120"/>
      </w:pPr>
      <w:r w:rsidRPr="00120811">
        <w:t>*Supposition basée sur la taille du pathogène Pas d'analyses indépendantes.</w:t>
      </w:r>
    </w:p>
    <w:p w14:paraId="4F956CF3" w14:textId="226B163E" w:rsidR="00EB0679" w:rsidRPr="00120811" w:rsidRDefault="00EB0679" w:rsidP="003C12AF">
      <w:pPr>
        <w:sectPr w:rsidR="00EB0679" w:rsidRPr="00120811"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p>
    <w:p w14:paraId="5579E6DF" w14:textId="77777777" w:rsidR="003125F4" w:rsidRPr="00120811" w:rsidRDefault="00AE29FC" w:rsidP="003125F4">
      <w:pPr>
        <w:pStyle w:val="Heading2"/>
        <w:rPr>
          <w:sz w:val="21"/>
          <w:szCs w:val="21"/>
        </w:rPr>
      </w:pPr>
      <w:r w:rsidRPr="00120811">
        <w:rPr>
          <w:sz w:val="21"/>
          <w:szCs w:val="21"/>
        </w:rPr>
        <w:t>Autres paramètres</w:t>
      </w:r>
    </w:p>
    <w:p w14:paraId="409AD7B9" w14:textId="19B69DFE" w:rsidR="00AE29FC" w:rsidRPr="00120811" w:rsidRDefault="00F27918" w:rsidP="003125F4">
      <w:pPr>
        <w:rPr>
          <w:sz w:val="21"/>
          <w:szCs w:val="21"/>
        </w:rPr>
      </w:pPr>
      <w:r w:rsidRPr="00120811">
        <w:rPr>
          <w:sz w:val="21"/>
          <w:szCs w:val="21"/>
        </w:rPr>
        <w:t xml:space="preserve">Retire efficacement la turbidité, mais se colmate rapidement lorsque l'eau est très trouble. </w:t>
      </w:r>
    </w:p>
    <w:p w14:paraId="0F52A9EE" w14:textId="77777777" w:rsidR="003125F4" w:rsidRPr="00120811" w:rsidRDefault="00A53254" w:rsidP="003125F4">
      <w:pPr>
        <w:pStyle w:val="Heading2"/>
        <w:rPr>
          <w:sz w:val="21"/>
          <w:szCs w:val="21"/>
        </w:rPr>
      </w:pPr>
      <w:r w:rsidRPr="00120811">
        <w:rPr>
          <w:sz w:val="21"/>
          <w:szCs w:val="21"/>
        </w:rPr>
        <w:t>Exigences concernant l'eau à traiter</w:t>
      </w:r>
    </w:p>
    <w:p w14:paraId="714DBB24" w14:textId="03BA3DCB" w:rsidR="008C6462" w:rsidRPr="00120811" w:rsidRDefault="007A10B6" w:rsidP="003125F4">
      <w:pPr>
        <w:rPr>
          <w:sz w:val="21"/>
          <w:szCs w:val="21"/>
        </w:rPr>
      </w:pPr>
      <w:r w:rsidRPr="00120811">
        <w:rPr>
          <w:sz w:val="21"/>
          <w:szCs w:val="21"/>
        </w:rPr>
        <w:t>Ne convient pas pour des eaux troubles (&gt;5 NTU).</w:t>
      </w:r>
    </w:p>
    <w:p w14:paraId="4E11504F" w14:textId="77777777" w:rsidR="003125F4" w:rsidRPr="00120811" w:rsidRDefault="008C6462" w:rsidP="003125F4">
      <w:pPr>
        <w:pStyle w:val="Heading2"/>
        <w:rPr>
          <w:sz w:val="21"/>
          <w:szCs w:val="21"/>
        </w:rPr>
      </w:pPr>
      <w:r w:rsidRPr="00120811">
        <w:rPr>
          <w:sz w:val="21"/>
          <w:szCs w:val="21"/>
        </w:rPr>
        <w:t>Capacité</w:t>
      </w:r>
    </w:p>
    <w:p w14:paraId="0942C6D6" w14:textId="2A4FB081" w:rsidR="008C6462" w:rsidRPr="00120811" w:rsidRDefault="00A17332" w:rsidP="00C87438">
      <w:pPr>
        <w:rPr>
          <w:sz w:val="21"/>
          <w:szCs w:val="21"/>
        </w:rPr>
      </w:pPr>
      <w:r w:rsidRPr="00120811">
        <w:rPr>
          <w:sz w:val="21"/>
          <w:szCs w:val="21"/>
        </w:rPr>
        <w:t>Débit compris entre 0,5 et 3 L/heure par cartouche en céramique. Le filtre peut traiter 6 litres d'eau par bâchée (les récipients du haut et du bas ont chacun un volume de 6 litres).</w:t>
      </w:r>
      <w:bookmarkStart w:id="0" w:name="_GoBack"/>
      <w:bookmarkEnd w:id="0"/>
    </w:p>
    <w:p w14:paraId="61D2B4F1" w14:textId="77777777" w:rsidR="003125F4" w:rsidRPr="00120811" w:rsidRDefault="008C6462" w:rsidP="003125F4">
      <w:pPr>
        <w:pStyle w:val="Heading2"/>
        <w:rPr>
          <w:sz w:val="21"/>
          <w:szCs w:val="21"/>
        </w:rPr>
      </w:pPr>
      <w:r w:rsidRPr="00120811">
        <w:rPr>
          <w:sz w:val="21"/>
          <w:szCs w:val="21"/>
        </w:rPr>
        <w:t>Durée de vie</w:t>
      </w:r>
    </w:p>
    <w:p w14:paraId="6B745A0A" w14:textId="080A9E20" w:rsidR="008C6462" w:rsidRPr="00120811" w:rsidRDefault="00C87438" w:rsidP="003125F4">
      <w:pPr>
        <w:rPr>
          <w:sz w:val="21"/>
          <w:szCs w:val="21"/>
        </w:rPr>
      </w:pPr>
      <w:r w:rsidRPr="00120811">
        <w:rPr>
          <w:sz w:val="21"/>
          <w:szCs w:val="21"/>
        </w:rPr>
        <w:t>Chaque cartouche en céramique a une durée de vie de 500 litres ou 6 mois d'utilisation. Les parties en plastique durent plus longtemps.</w:t>
      </w:r>
    </w:p>
    <w:p w14:paraId="69AF1F53" w14:textId="77777777" w:rsidR="00FC0B37" w:rsidRPr="00120811" w:rsidRDefault="00FC0B37" w:rsidP="00B9649E">
      <w:pPr>
        <w:pStyle w:val="Heading1"/>
      </w:pPr>
      <w:r w:rsidRPr="00120811">
        <w:t>Facilité d'utilisation et acceptabilité</w:t>
      </w:r>
    </w:p>
    <w:p w14:paraId="7E51B05B" w14:textId="77777777" w:rsidR="003125F4" w:rsidRPr="00120811" w:rsidRDefault="003125F4" w:rsidP="00120811">
      <w:pPr>
        <w:pStyle w:val="Heading2"/>
        <w:spacing w:before="0"/>
        <w:rPr>
          <w:sz w:val="21"/>
          <w:szCs w:val="21"/>
        </w:rPr>
      </w:pPr>
      <w:r w:rsidRPr="00120811">
        <w:rPr>
          <w:sz w:val="21"/>
          <w:szCs w:val="21"/>
        </w:rPr>
        <w:t>Fonctionnement et entretien</w:t>
      </w:r>
    </w:p>
    <w:p w14:paraId="1EE780E8" w14:textId="4F50B1F0" w:rsidR="00FC0B37" w:rsidRPr="00120811" w:rsidRDefault="00C87438" w:rsidP="00120811">
      <w:pPr>
        <w:spacing w:after="240"/>
        <w:rPr>
          <w:sz w:val="21"/>
          <w:szCs w:val="21"/>
        </w:rPr>
      </w:pPr>
      <w:r w:rsidRPr="00120811">
        <w:rPr>
          <w:sz w:val="21"/>
          <w:szCs w:val="21"/>
        </w:rPr>
        <w:t>Les utilisateurs versent de l'eau par le dessus du récipient du haut et attendent que l'eau s'écoule à travers le filtre jusque dans le récipient de conservation hygiénique situé en-dessous. Le robinet flotteur empêche le débordement du récipient du bas. Les utilisateurs peuvent se servir en eau traitée grâce au robinet. Si le débit diminue après un certain temps, il est possible de retirer une très fine couche de céramique en frottant avec une brosse.</w:t>
      </w:r>
    </w:p>
    <w:p w14:paraId="324902D9" w14:textId="70C4BB01" w:rsidR="003125F4" w:rsidRPr="00120811" w:rsidRDefault="008C6462" w:rsidP="003125F4">
      <w:pPr>
        <w:pStyle w:val="Heading2"/>
        <w:rPr>
          <w:sz w:val="21"/>
          <w:szCs w:val="21"/>
        </w:rPr>
      </w:pPr>
      <w:r w:rsidRPr="00120811">
        <w:rPr>
          <w:sz w:val="21"/>
          <w:szCs w:val="21"/>
        </w:rPr>
        <w:t>Réparations et pièces de rechange</w:t>
      </w:r>
    </w:p>
    <w:p w14:paraId="35FF0C02" w14:textId="0FEEE2E4" w:rsidR="008C6462" w:rsidRPr="00120811" w:rsidRDefault="00C87438" w:rsidP="003125F4">
      <w:pPr>
        <w:rPr>
          <w:sz w:val="21"/>
          <w:szCs w:val="21"/>
        </w:rPr>
      </w:pPr>
      <w:r w:rsidRPr="00120811">
        <w:rPr>
          <w:sz w:val="21"/>
          <w:szCs w:val="21"/>
        </w:rPr>
        <w:t>Les cartouches en céramique sont fragiles et doivent être remplacées en cas de fissures ou de fuites, lorsqu'elles ont traité 500 litres ou lorsqu'elles ont été utilisées pendant 6 mois (dans le premier des deux cas). Les pièces en plastique sont plus durables mais auront peut-être besoin d'être remplacées.</w:t>
      </w:r>
    </w:p>
    <w:p w14:paraId="147C8604" w14:textId="77777777" w:rsidR="003125F4" w:rsidRPr="00120811" w:rsidRDefault="008C6462" w:rsidP="003125F4">
      <w:pPr>
        <w:pStyle w:val="Heading2"/>
        <w:rPr>
          <w:sz w:val="21"/>
          <w:szCs w:val="21"/>
        </w:rPr>
      </w:pPr>
      <w:r w:rsidRPr="00120811">
        <w:rPr>
          <w:sz w:val="21"/>
          <w:szCs w:val="21"/>
        </w:rPr>
        <w:t>Préférences des utilisateurs</w:t>
      </w:r>
    </w:p>
    <w:p w14:paraId="7B340623" w14:textId="77777777" w:rsidR="00C87438" w:rsidRPr="00120811" w:rsidRDefault="00C87438" w:rsidP="00C87438">
      <w:pPr>
        <w:rPr>
          <w:sz w:val="21"/>
          <w:szCs w:val="21"/>
        </w:rPr>
      </w:pPr>
      <w:r w:rsidRPr="00120811">
        <w:rPr>
          <w:sz w:val="21"/>
          <w:szCs w:val="21"/>
        </w:rPr>
        <w:t xml:space="preserve">La conservation hygiénique est incluse dans le filtre (récipient du bas). Le filtre doit être installé à l’abri du soleil pour éviter tout risque de dégradation des pièces en plastique. </w:t>
      </w:r>
    </w:p>
    <w:p w14:paraId="67D224B1" w14:textId="51350CAC" w:rsidR="00FC0B37" w:rsidRPr="00120811" w:rsidRDefault="00FC0B37" w:rsidP="00C87438">
      <w:pPr>
        <w:pStyle w:val="Heading1"/>
      </w:pPr>
      <w:r w:rsidRPr="00120811">
        <w:t>Faisabilité</w:t>
      </w:r>
    </w:p>
    <w:p w14:paraId="03D679C3" w14:textId="77777777" w:rsidR="003125F4" w:rsidRPr="00120811" w:rsidRDefault="008C6462" w:rsidP="00120811">
      <w:pPr>
        <w:pStyle w:val="Heading2"/>
        <w:spacing w:before="0"/>
        <w:rPr>
          <w:sz w:val="21"/>
          <w:szCs w:val="21"/>
        </w:rPr>
      </w:pPr>
      <w:r w:rsidRPr="00120811">
        <w:rPr>
          <w:sz w:val="21"/>
          <w:szCs w:val="21"/>
        </w:rPr>
        <w:t>Disponibilité</w:t>
      </w:r>
    </w:p>
    <w:p w14:paraId="5609F10D" w14:textId="65C7139C" w:rsidR="00FC0B37" w:rsidRPr="00120811" w:rsidRDefault="00C87438" w:rsidP="003125F4">
      <w:pPr>
        <w:rPr>
          <w:sz w:val="21"/>
          <w:szCs w:val="21"/>
        </w:rPr>
      </w:pPr>
      <w:r w:rsidRPr="00120811">
        <w:rPr>
          <w:sz w:val="21"/>
          <w:szCs w:val="21"/>
        </w:rPr>
        <w:t>Produit et distribué par Cerâmica Stéfani à travers son réseau de distributeurs locaux.</w:t>
      </w:r>
    </w:p>
    <w:p w14:paraId="567156F0" w14:textId="77777777" w:rsidR="003125F4" w:rsidRPr="00120811" w:rsidRDefault="008C6462" w:rsidP="003125F4">
      <w:pPr>
        <w:pStyle w:val="Heading2"/>
        <w:rPr>
          <w:sz w:val="21"/>
          <w:szCs w:val="21"/>
        </w:rPr>
      </w:pPr>
      <w:r w:rsidRPr="00120811">
        <w:rPr>
          <w:sz w:val="21"/>
          <w:szCs w:val="21"/>
        </w:rPr>
        <w:t>Coût</w:t>
      </w:r>
    </w:p>
    <w:p w14:paraId="55211F83" w14:textId="13F106D4" w:rsidR="008C6462" w:rsidRPr="00120811" w:rsidRDefault="00A17332" w:rsidP="003125F4">
      <w:pPr>
        <w:rPr>
          <w:sz w:val="21"/>
          <w:szCs w:val="21"/>
        </w:rPr>
      </w:pPr>
      <w:r w:rsidRPr="00120811">
        <w:rPr>
          <w:sz w:val="21"/>
          <w:szCs w:val="21"/>
        </w:rPr>
        <w:t>Variable mais généralement compris entre 35 et 60 $ US.</w:t>
      </w:r>
    </w:p>
    <w:p w14:paraId="72C2B4C3" w14:textId="209FA24C" w:rsidR="003125F4" w:rsidRPr="00120811" w:rsidRDefault="008C6462" w:rsidP="003125F4">
      <w:pPr>
        <w:pStyle w:val="Heading2"/>
        <w:rPr>
          <w:sz w:val="21"/>
          <w:szCs w:val="21"/>
        </w:rPr>
      </w:pPr>
      <w:r w:rsidRPr="00120811">
        <w:rPr>
          <w:sz w:val="21"/>
          <w:szCs w:val="21"/>
        </w:rPr>
        <w:t>Taille et poids</w:t>
      </w:r>
    </w:p>
    <w:p w14:paraId="329D8451" w14:textId="5FB421ED" w:rsidR="008C6462" w:rsidRPr="00120811" w:rsidRDefault="00A17332" w:rsidP="003125F4">
      <w:pPr>
        <w:rPr>
          <w:sz w:val="21"/>
          <w:szCs w:val="21"/>
        </w:rPr>
      </w:pPr>
      <w:r w:rsidRPr="00120811">
        <w:rPr>
          <w:sz w:val="21"/>
          <w:szCs w:val="21"/>
        </w:rPr>
        <w:t>26 x 26 x 26 cm (lorsqu'il est emballé avant expédition) ; le poids est compris entre 1,2 et 1.5 kg, en fonction du nombre de bougies.</w:t>
      </w:r>
    </w:p>
    <w:p w14:paraId="17E9EBCC" w14:textId="77777777" w:rsidR="00AA1CCE" w:rsidRPr="00120811" w:rsidRDefault="00B9649E" w:rsidP="00B9649E">
      <w:pPr>
        <w:pStyle w:val="Heading1"/>
      </w:pPr>
      <w:r w:rsidRPr="00120811">
        <w:t>Pour plus d'informations</w:t>
      </w:r>
    </w:p>
    <w:p w14:paraId="22CDC844" w14:textId="0D786043" w:rsidR="00C4582D" w:rsidRPr="00120811" w:rsidRDefault="00A17332" w:rsidP="00C4582D">
      <w:pPr>
        <w:rPr>
          <w:sz w:val="21"/>
          <w:szCs w:val="21"/>
        </w:rPr>
        <w:sectPr w:rsidR="00C4582D" w:rsidRPr="00120811" w:rsidSect="00EB0679">
          <w:type w:val="continuous"/>
          <w:pgSz w:w="11900" w:h="16840" w:code="9"/>
          <w:pgMar w:top="720" w:right="720" w:bottom="720" w:left="720" w:header="737" w:footer="737" w:gutter="0"/>
          <w:pgNumType w:start="0"/>
          <w:cols w:num="2" w:space="708"/>
          <w:docGrid w:linePitch="360"/>
        </w:sectPr>
      </w:pPr>
      <w:r w:rsidRPr="00120811">
        <w:rPr>
          <w:sz w:val="21"/>
          <w:szCs w:val="21"/>
        </w:rPr>
        <w:t xml:space="preserve">Détails et références : </w:t>
      </w:r>
      <w:hyperlink r:id="rId13" w:history="1">
        <w:r w:rsidRPr="00120811">
          <w:rPr>
            <w:rStyle w:val="Hyperlink"/>
            <w:sz w:val="21"/>
            <w:szCs w:val="21"/>
          </w:rPr>
          <w:t>www.hwts.info/products-technologies/690a7147/ceramica-stefani-flex</w:t>
        </w:r>
      </w:hyperlink>
      <w:r w:rsidRPr="00120811">
        <w:rPr>
          <w:sz w:val="21"/>
          <w:szCs w:val="21"/>
        </w:rPr>
        <w:t xml:space="preserve"> </w:t>
      </w:r>
    </w:p>
    <w:p w14:paraId="33E3046F" w14:textId="77777777" w:rsidR="00EB0679" w:rsidRPr="00120811" w:rsidRDefault="00EB0679" w:rsidP="00EB0679">
      <w:pPr>
        <w:pStyle w:val="Table-AfterParagraphInvisibility"/>
      </w:pPr>
    </w:p>
    <w:sectPr w:rsidR="00EB0679" w:rsidRPr="00120811"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C831" w14:textId="77777777" w:rsidR="0001549D" w:rsidRDefault="0001549D" w:rsidP="00510EBB">
      <w:r>
        <w:separator/>
      </w:r>
    </w:p>
  </w:endnote>
  <w:endnote w:type="continuationSeparator" w:id="0">
    <w:p w14:paraId="176CFE30" w14:textId="77777777" w:rsidR="0001549D" w:rsidRDefault="0001549D"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120811">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t xml:space="preserve">Le contenu de ce document est en libre accès et sous </w:t>
          </w:r>
          <w:hyperlink r:id="rId1" w:history="1">
            <w:r>
              <w:rPr>
                <w:rStyle w:val="Hyperlink"/>
              </w:rPr>
              <w:t>licence Creative Commons Attribution-</w:t>
            </w:r>
            <w:proofErr w:type="spellStart"/>
            <w:r>
              <w:rPr>
                <w:rStyle w:val="Hyperlink"/>
              </w:rPr>
              <w:t>ShareAlike</w:t>
            </w:r>
            <w:proofErr w:type="spellEnd"/>
            <w:r>
              <w:rPr>
                <w:rStyle w:val="Hyperlink"/>
              </w:rPr>
              <w:t> 4.0 International License.</w:t>
            </w:r>
          </w:hyperlink>
          <w:r>
            <w:t>(CC BY-SA 4.0). Reportez-vous aux directives de CAWST pour la distribution, la traduction, l'adaptation ou le référencement des ressources de CAWST (</w:t>
          </w:r>
          <w:hyperlink r:id="rId2" w:history="1">
            <w:r>
              <w:rPr>
                <w:rStyle w:val="Hyperlink"/>
              </w:rPr>
              <w:t>resources.cawst.org/cc</w:t>
            </w:r>
          </w:hyperlink>
          <w:r>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rPr>
            <w:drawing>
              <wp:inline distT="0" distB="0" distL="0" distR="0" wp14:anchorId="1050780C" wp14:editId="7A1A14C3">
                <wp:extent cx="840105" cy="297815"/>
                <wp:effectExtent l="0" t="0" r="0" b="6985"/>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120811">
      <w:trPr>
        <w:trHeight w:val="466"/>
      </w:trPr>
      <w:tc>
        <w:tcPr>
          <w:tcW w:w="1902" w:type="dxa"/>
          <w:vAlign w:val="bottom"/>
        </w:tcPr>
        <w:p w14:paraId="7649385E" w14:textId="77777777" w:rsidR="00FE7F58" w:rsidRDefault="00FE7F58" w:rsidP="007A328F">
          <w:pPr>
            <w:pStyle w:val="Footer"/>
            <w:jc w:val="left"/>
          </w:pPr>
          <w:r>
            <w:rPr>
              <w:noProof/>
            </w:rPr>
            <w:drawing>
              <wp:inline distT="0" distB="0" distL="0" distR="0" wp14:anchorId="559B63B7" wp14:editId="454D4C74">
                <wp:extent cx="960707" cy="326571"/>
                <wp:effectExtent l="0" t="0" r="508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t xml:space="preserve">Calgary, Canada | </w:t>
          </w:r>
          <w:hyperlink r:id="rId6" w:history="1">
            <w:r>
              <w:rPr>
                <w:rStyle w:val="Hyperlink"/>
              </w:rPr>
              <w:t>resources.cawst.org</w:t>
            </w:r>
          </w:hyperlink>
          <w:r>
            <w:t xml:space="preserve"> | </w:t>
          </w:r>
          <w:hyperlink r:id="rId7" w:history="1">
            <w:r>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B9DD" w14:textId="77777777" w:rsidR="0001549D" w:rsidRDefault="0001549D" w:rsidP="00510EBB">
      <w:r>
        <w:separator/>
      </w:r>
    </w:p>
  </w:footnote>
  <w:footnote w:type="continuationSeparator" w:id="0">
    <w:p w14:paraId="20C14519" w14:textId="77777777" w:rsidR="0001549D" w:rsidRDefault="0001549D"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9714" w14:textId="6444670E" w:rsidR="000B537F" w:rsidRPr="00BA5893" w:rsidRDefault="00BA5893" w:rsidP="00BA5893">
    <w:pPr>
      <w:pStyle w:val="Header"/>
    </w:pPr>
    <w:r>
      <w:t>Fiche technique sur la conservation et le traitement de l’eau à domicile | Dernière mise à jour : mars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CC7E" w14:textId="77777777" w:rsidR="00FC0B37" w:rsidRPr="00FC0B37" w:rsidRDefault="00FC0B37" w:rsidP="00FC0B37">
    <w:pPr>
      <w:pStyle w:val="Header"/>
    </w:pPr>
    <w:r>
      <w:t>Présentation des technologies de conservation et traitement de l'eau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73"/>
    <w:rsid w:val="00001F77"/>
    <w:rsid w:val="0000349D"/>
    <w:rsid w:val="0000632D"/>
    <w:rsid w:val="0001549D"/>
    <w:rsid w:val="000250E0"/>
    <w:rsid w:val="000465CE"/>
    <w:rsid w:val="00080A29"/>
    <w:rsid w:val="00086E6B"/>
    <w:rsid w:val="00092967"/>
    <w:rsid w:val="000B33C2"/>
    <w:rsid w:val="000B36AE"/>
    <w:rsid w:val="000B537F"/>
    <w:rsid w:val="000C4E47"/>
    <w:rsid w:val="000D38B7"/>
    <w:rsid w:val="000F79D9"/>
    <w:rsid w:val="001106B5"/>
    <w:rsid w:val="00115FD6"/>
    <w:rsid w:val="00120811"/>
    <w:rsid w:val="00120ED8"/>
    <w:rsid w:val="00121E61"/>
    <w:rsid w:val="00122376"/>
    <w:rsid w:val="0012462F"/>
    <w:rsid w:val="00126AA8"/>
    <w:rsid w:val="001432FE"/>
    <w:rsid w:val="001625DE"/>
    <w:rsid w:val="00163EEA"/>
    <w:rsid w:val="00166D7F"/>
    <w:rsid w:val="001759D6"/>
    <w:rsid w:val="001B15DC"/>
    <w:rsid w:val="001C4A07"/>
    <w:rsid w:val="001D3FAF"/>
    <w:rsid w:val="001D449C"/>
    <w:rsid w:val="001E0441"/>
    <w:rsid w:val="001F09BD"/>
    <w:rsid w:val="00226E08"/>
    <w:rsid w:val="00235C6C"/>
    <w:rsid w:val="00236D2F"/>
    <w:rsid w:val="00250F82"/>
    <w:rsid w:val="00252508"/>
    <w:rsid w:val="002605EA"/>
    <w:rsid w:val="002607FF"/>
    <w:rsid w:val="00261923"/>
    <w:rsid w:val="00270EFC"/>
    <w:rsid w:val="00280E15"/>
    <w:rsid w:val="00281503"/>
    <w:rsid w:val="00285CB6"/>
    <w:rsid w:val="002A3BA4"/>
    <w:rsid w:val="002B1538"/>
    <w:rsid w:val="002B34D5"/>
    <w:rsid w:val="002D6DC8"/>
    <w:rsid w:val="002D6EBE"/>
    <w:rsid w:val="002E27F8"/>
    <w:rsid w:val="002E39FF"/>
    <w:rsid w:val="002F0588"/>
    <w:rsid w:val="002F18C6"/>
    <w:rsid w:val="002F562E"/>
    <w:rsid w:val="003125F4"/>
    <w:rsid w:val="0031451B"/>
    <w:rsid w:val="003239C4"/>
    <w:rsid w:val="00324F32"/>
    <w:rsid w:val="0032798F"/>
    <w:rsid w:val="003361F6"/>
    <w:rsid w:val="00336873"/>
    <w:rsid w:val="00340EEC"/>
    <w:rsid w:val="00343453"/>
    <w:rsid w:val="00345C5E"/>
    <w:rsid w:val="003471BA"/>
    <w:rsid w:val="00353B84"/>
    <w:rsid w:val="003634A1"/>
    <w:rsid w:val="00376F79"/>
    <w:rsid w:val="003858E9"/>
    <w:rsid w:val="003947A0"/>
    <w:rsid w:val="003B0DAD"/>
    <w:rsid w:val="003C12AF"/>
    <w:rsid w:val="003C1855"/>
    <w:rsid w:val="003C3972"/>
    <w:rsid w:val="003C4AD3"/>
    <w:rsid w:val="003D5414"/>
    <w:rsid w:val="003E2A3A"/>
    <w:rsid w:val="003E57B8"/>
    <w:rsid w:val="003F64CD"/>
    <w:rsid w:val="004132B1"/>
    <w:rsid w:val="00423C81"/>
    <w:rsid w:val="00453773"/>
    <w:rsid w:val="004611E4"/>
    <w:rsid w:val="004872B2"/>
    <w:rsid w:val="00490E04"/>
    <w:rsid w:val="0049451E"/>
    <w:rsid w:val="004B1945"/>
    <w:rsid w:val="004B50D8"/>
    <w:rsid w:val="004C3429"/>
    <w:rsid w:val="004D4508"/>
    <w:rsid w:val="004D674B"/>
    <w:rsid w:val="00510EBB"/>
    <w:rsid w:val="00521C57"/>
    <w:rsid w:val="00523F7A"/>
    <w:rsid w:val="00533BA4"/>
    <w:rsid w:val="00534CA9"/>
    <w:rsid w:val="00535AB5"/>
    <w:rsid w:val="005477F0"/>
    <w:rsid w:val="00560D63"/>
    <w:rsid w:val="00574499"/>
    <w:rsid w:val="00575E0B"/>
    <w:rsid w:val="005826C0"/>
    <w:rsid w:val="005874C9"/>
    <w:rsid w:val="005921AD"/>
    <w:rsid w:val="005960CC"/>
    <w:rsid w:val="005A3D65"/>
    <w:rsid w:val="005A4AA7"/>
    <w:rsid w:val="005B2FBC"/>
    <w:rsid w:val="005C659E"/>
    <w:rsid w:val="005D234E"/>
    <w:rsid w:val="005D5A68"/>
    <w:rsid w:val="005E26C3"/>
    <w:rsid w:val="005E6FA5"/>
    <w:rsid w:val="005F2A04"/>
    <w:rsid w:val="005F62FB"/>
    <w:rsid w:val="006034E6"/>
    <w:rsid w:val="00605FB9"/>
    <w:rsid w:val="00616773"/>
    <w:rsid w:val="00621AE2"/>
    <w:rsid w:val="00623D4E"/>
    <w:rsid w:val="006246DB"/>
    <w:rsid w:val="00630811"/>
    <w:rsid w:val="006320FF"/>
    <w:rsid w:val="00637110"/>
    <w:rsid w:val="00644996"/>
    <w:rsid w:val="00645316"/>
    <w:rsid w:val="00667A79"/>
    <w:rsid w:val="00691E08"/>
    <w:rsid w:val="00695694"/>
    <w:rsid w:val="006C3B27"/>
    <w:rsid w:val="006D24D4"/>
    <w:rsid w:val="006E5A14"/>
    <w:rsid w:val="007031BD"/>
    <w:rsid w:val="00706A88"/>
    <w:rsid w:val="0071380E"/>
    <w:rsid w:val="00715DB7"/>
    <w:rsid w:val="0077622C"/>
    <w:rsid w:val="00780E43"/>
    <w:rsid w:val="0078219E"/>
    <w:rsid w:val="007A10B6"/>
    <w:rsid w:val="007A328F"/>
    <w:rsid w:val="007B7124"/>
    <w:rsid w:val="007C12F3"/>
    <w:rsid w:val="007C3581"/>
    <w:rsid w:val="007C3BBE"/>
    <w:rsid w:val="007D69A5"/>
    <w:rsid w:val="008029BD"/>
    <w:rsid w:val="0081107A"/>
    <w:rsid w:val="00825E09"/>
    <w:rsid w:val="00827624"/>
    <w:rsid w:val="00837C45"/>
    <w:rsid w:val="00850240"/>
    <w:rsid w:val="008575A6"/>
    <w:rsid w:val="00865422"/>
    <w:rsid w:val="008838D5"/>
    <w:rsid w:val="008844F3"/>
    <w:rsid w:val="008850B2"/>
    <w:rsid w:val="00886D88"/>
    <w:rsid w:val="00891218"/>
    <w:rsid w:val="008A7998"/>
    <w:rsid w:val="008B221E"/>
    <w:rsid w:val="008C6462"/>
    <w:rsid w:val="008C6DB3"/>
    <w:rsid w:val="008F0AEE"/>
    <w:rsid w:val="008F6FCB"/>
    <w:rsid w:val="0091776C"/>
    <w:rsid w:val="0093385B"/>
    <w:rsid w:val="009355DE"/>
    <w:rsid w:val="00953408"/>
    <w:rsid w:val="0096430D"/>
    <w:rsid w:val="009905F7"/>
    <w:rsid w:val="009A53AD"/>
    <w:rsid w:val="009B0821"/>
    <w:rsid w:val="009C4189"/>
    <w:rsid w:val="009C458F"/>
    <w:rsid w:val="009D452E"/>
    <w:rsid w:val="009D6BEC"/>
    <w:rsid w:val="009E32CF"/>
    <w:rsid w:val="009E6172"/>
    <w:rsid w:val="009E6447"/>
    <w:rsid w:val="00A07F44"/>
    <w:rsid w:val="00A17332"/>
    <w:rsid w:val="00A31582"/>
    <w:rsid w:val="00A3549E"/>
    <w:rsid w:val="00A40173"/>
    <w:rsid w:val="00A4205E"/>
    <w:rsid w:val="00A44AD4"/>
    <w:rsid w:val="00A45B29"/>
    <w:rsid w:val="00A53254"/>
    <w:rsid w:val="00A71226"/>
    <w:rsid w:val="00A87D89"/>
    <w:rsid w:val="00A937B9"/>
    <w:rsid w:val="00AA1CCE"/>
    <w:rsid w:val="00AB2AE8"/>
    <w:rsid w:val="00AB2D37"/>
    <w:rsid w:val="00AC2412"/>
    <w:rsid w:val="00AE29FC"/>
    <w:rsid w:val="00AF7DA7"/>
    <w:rsid w:val="00B2197D"/>
    <w:rsid w:val="00B222BA"/>
    <w:rsid w:val="00B25AEF"/>
    <w:rsid w:val="00B365C1"/>
    <w:rsid w:val="00B709A3"/>
    <w:rsid w:val="00B82B38"/>
    <w:rsid w:val="00B842B1"/>
    <w:rsid w:val="00B84753"/>
    <w:rsid w:val="00B9083E"/>
    <w:rsid w:val="00B9649E"/>
    <w:rsid w:val="00BA02BC"/>
    <w:rsid w:val="00BA0EAB"/>
    <w:rsid w:val="00BA330B"/>
    <w:rsid w:val="00BA5893"/>
    <w:rsid w:val="00BC7ABA"/>
    <w:rsid w:val="00BD73B8"/>
    <w:rsid w:val="00C01012"/>
    <w:rsid w:val="00C03318"/>
    <w:rsid w:val="00C27860"/>
    <w:rsid w:val="00C4582D"/>
    <w:rsid w:val="00C601D0"/>
    <w:rsid w:val="00C77462"/>
    <w:rsid w:val="00C87438"/>
    <w:rsid w:val="00C915D7"/>
    <w:rsid w:val="00CD413B"/>
    <w:rsid w:val="00CD6078"/>
    <w:rsid w:val="00CF68E8"/>
    <w:rsid w:val="00D01E85"/>
    <w:rsid w:val="00D041AD"/>
    <w:rsid w:val="00D05C8D"/>
    <w:rsid w:val="00D1044B"/>
    <w:rsid w:val="00D12CE0"/>
    <w:rsid w:val="00D338CE"/>
    <w:rsid w:val="00D40A5D"/>
    <w:rsid w:val="00D437DB"/>
    <w:rsid w:val="00D4607B"/>
    <w:rsid w:val="00D55F50"/>
    <w:rsid w:val="00D84377"/>
    <w:rsid w:val="00D85ECD"/>
    <w:rsid w:val="00D96165"/>
    <w:rsid w:val="00DA0006"/>
    <w:rsid w:val="00DA0C2A"/>
    <w:rsid w:val="00DA3AAC"/>
    <w:rsid w:val="00DC6216"/>
    <w:rsid w:val="00DE2D96"/>
    <w:rsid w:val="00DF45CF"/>
    <w:rsid w:val="00E05780"/>
    <w:rsid w:val="00E21494"/>
    <w:rsid w:val="00E400D5"/>
    <w:rsid w:val="00E54B55"/>
    <w:rsid w:val="00E5602B"/>
    <w:rsid w:val="00E81B98"/>
    <w:rsid w:val="00E94755"/>
    <w:rsid w:val="00EA1320"/>
    <w:rsid w:val="00EA1DE2"/>
    <w:rsid w:val="00EA3F36"/>
    <w:rsid w:val="00EB032A"/>
    <w:rsid w:val="00EB0679"/>
    <w:rsid w:val="00EB1D4D"/>
    <w:rsid w:val="00EC6060"/>
    <w:rsid w:val="00EE44ED"/>
    <w:rsid w:val="00EE77C9"/>
    <w:rsid w:val="00EF1932"/>
    <w:rsid w:val="00EF28BF"/>
    <w:rsid w:val="00F05BFD"/>
    <w:rsid w:val="00F14F8B"/>
    <w:rsid w:val="00F27918"/>
    <w:rsid w:val="00F33D12"/>
    <w:rsid w:val="00F33DDE"/>
    <w:rsid w:val="00F35215"/>
    <w:rsid w:val="00F64215"/>
    <w:rsid w:val="00F71475"/>
    <w:rsid w:val="00F7354A"/>
    <w:rsid w:val="00F87BD6"/>
    <w:rsid w:val="00F9080F"/>
    <w:rsid w:val="00F93C72"/>
    <w:rsid w:val="00FC0B37"/>
    <w:rsid w:val="00FD61C9"/>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fr-F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fr-F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381709352">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wts.info/products-technologies/690a7147/ceramica-stefani-fl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D564-C674-4502-8212-5AD2D8A6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5</cp:revision>
  <cp:lastPrinted>2017-03-01T20:59:00Z</cp:lastPrinted>
  <dcterms:created xsi:type="dcterms:W3CDTF">2018-03-15T18:12:00Z</dcterms:created>
  <dcterms:modified xsi:type="dcterms:W3CDTF">2018-05-11T19:55:00Z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