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66160" cy="1248156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248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bidi w:val="1"/>
        <w:jc w:val="center"/>
        <w:rPr>
          <w:color w:val="3d85c6"/>
          <w:sz w:val="52"/>
          <w:szCs w:val="52"/>
        </w:rPr>
      </w:pPr>
      <w:r w:rsidDel="00000000" w:rsidR="00000000" w:rsidRPr="00000000">
        <w:rPr>
          <w:color w:val="3d85c6"/>
          <w:sz w:val="44"/>
          <w:szCs w:val="44"/>
          <w:rtl w:val="0"/>
        </w:rPr>
        <w:t xml:space="preserve"> </w:t>
      </w:r>
      <w:r w:rsidDel="00000000" w:rsidR="00000000" w:rsidRPr="00000000">
        <w:rPr>
          <w:color w:val="3d85c6"/>
          <w:sz w:val="52"/>
          <w:szCs w:val="52"/>
          <w:rtl w:val="1"/>
        </w:rPr>
        <w:t xml:space="preserve">طرق</w:t>
      </w:r>
      <w:r w:rsidDel="00000000" w:rsidR="00000000" w:rsidRPr="00000000">
        <w:rPr>
          <w:color w:val="3d85c6"/>
          <w:sz w:val="52"/>
          <w:szCs w:val="52"/>
          <w:rtl w:val="1"/>
        </w:rPr>
        <w:t xml:space="preserve"> </w:t>
      </w:r>
      <w:r w:rsidDel="00000000" w:rsidR="00000000" w:rsidRPr="00000000">
        <w:rPr>
          <w:color w:val="3d85c6"/>
          <w:sz w:val="52"/>
          <w:szCs w:val="52"/>
          <w:rtl w:val="1"/>
        </w:rPr>
        <w:t xml:space="preserve">وأدوات</w:t>
      </w:r>
      <w:r w:rsidDel="00000000" w:rsidR="00000000" w:rsidRPr="00000000">
        <w:rPr>
          <w:color w:val="3d85c6"/>
          <w:sz w:val="52"/>
          <w:szCs w:val="52"/>
          <w:rtl w:val="1"/>
        </w:rPr>
        <w:t xml:space="preserve"> </w:t>
      </w:r>
      <w:r w:rsidDel="00000000" w:rsidR="00000000" w:rsidRPr="00000000">
        <w:rPr>
          <w:color w:val="3d85c6"/>
          <w:sz w:val="52"/>
          <w:szCs w:val="52"/>
          <w:rtl w:val="1"/>
        </w:rPr>
        <w:t xml:space="preserve">جمع</w:t>
      </w:r>
      <w:r w:rsidDel="00000000" w:rsidR="00000000" w:rsidRPr="00000000">
        <w:rPr>
          <w:color w:val="3d85c6"/>
          <w:sz w:val="52"/>
          <w:szCs w:val="52"/>
          <w:rtl w:val="1"/>
        </w:rPr>
        <w:t xml:space="preserve"> </w:t>
      </w:r>
      <w:r w:rsidDel="00000000" w:rsidR="00000000" w:rsidRPr="00000000">
        <w:rPr>
          <w:color w:val="3d85c6"/>
          <w:sz w:val="52"/>
          <w:szCs w:val="52"/>
          <w:rtl w:val="1"/>
        </w:rPr>
        <w:t xml:space="preserve">البيانات</w:t>
      </w:r>
    </w:p>
    <w:p w:rsidR="00000000" w:rsidDel="00000000" w:rsidP="00000000" w:rsidRDefault="00000000" w:rsidRPr="00000000" w14:paraId="00000008">
      <w:pPr>
        <w:rPr>
          <w:color w:val="2f5496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390525</wp:posOffset>
            </wp:positionV>
            <wp:extent cx="5829300" cy="3276600"/>
            <wp:effectExtent b="0" l="0" r="0" t="0"/>
            <wp:wrapTopAndBottom distB="114300" distT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276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المقدمة</w:t>
      </w:r>
    </w:p>
    <w:p w:rsidR="00000000" w:rsidDel="00000000" w:rsidP="00000000" w:rsidRDefault="00000000" w:rsidRPr="00000000" w14:paraId="0000000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التكويني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لتغيير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السلوك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محوري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التكويني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المؤشرات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ملاءمة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مبادرات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الأبحاث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التكوينية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الأحيان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الأدوات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مراعاة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ونطاقها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اسأل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نفسك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جديدة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لصالح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؟  </w:t>
      </w:r>
      <w:r w:rsidDel="00000000" w:rsidR="00000000" w:rsidRPr="00000000">
        <w:rPr>
          <w:sz w:val="24"/>
          <w:szCs w:val="24"/>
          <w:rtl w:val="1"/>
        </w:rPr>
        <w:t xml:space="preserve">سيساعد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التساؤل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bidi w:val="1"/>
        <w:spacing w:before="160" w:line="240" w:lineRule="auto"/>
        <w:rPr>
          <w:b w:val="1"/>
        </w:rPr>
      </w:pP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6"/>
        <w:shd w:fill="ffffff" w:val="clear"/>
        <w:bidi w:val="1"/>
        <w:spacing w:after="280" w:before="28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ومراقبة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السلوكيات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وجمع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المواقع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منزل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لن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جمعها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بالمراجعة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المكتبية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المكتبي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المستخدمة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العثور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إجابات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لأسئلة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والبيئات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والثقافات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والسلوكيات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والسياقات</w:t>
      </w:r>
      <w:r w:rsidDel="00000000" w:rsidR="00000000" w:rsidRPr="00000000">
        <w:rPr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مراجعة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مصادر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الثانوية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المراجعة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المكتبية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التحليل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السياسي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والاقتصادي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والاجتماعي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والتكنولوجي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والقانوني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والبيئي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444444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PESTLE)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تحليل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نقاط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القوة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والضعف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والفرص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والمخاطر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SWOT)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مراجعة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الأدبيات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الأبحاث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السابقة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تحليل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السبب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الجذري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تطبيق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التكنولوجيا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TAF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مراجعة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مصادر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الأولية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استطلاع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رأي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للسكان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رسم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خرائط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المجتمع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الجولات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الميدانية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مجموعات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النقاش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المركزة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استمارات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بيانات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اختبار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الشرب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استمارات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بيانات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التفتيش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الصحي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المقابلات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المعدة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مسبقا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بشكل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جزئي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مقدمي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الأساسيين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الملاحظة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النماذج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الأولية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تجربة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المستخدم</w:t>
      </w:r>
    </w:p>
    <w:p w:rsidR="00000000" w:rsidDel="00000000" w:rsidP="00000000" w:rsidRDefault="00000000" w:rsidRPr="00000000" w14:paraId="00000020">
      <w:pPr>
        <w:pStyle w:val="Subtitle"/>
        <w:rPr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rPr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f5496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Subtitle"/>
        <w:bidi w:val="1"/>
        <w:rPr>
          <w:color w:val="2f5496"/>
          <w:sz w:val="24"/>
          <w:szCs w:val="24"/>
        </w:rPr>
      </w:pPr>
      <w:r w:rsidDel="00000000" w:rsidR="00000000" w:rsidRPr="00000000">
        <w:rPr>
          <w:color w:val="2f5496"/>
          <w:sz w:val="24"/>
          <w:szCs w:val="24"/>
          <w:rtl w:val="1"/>
        </w:rPr>
        <w:t xml:space="preserve">المراجعة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المكتبية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عملية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لجمع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وتنظيم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الحالية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بسياق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موقع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وسلوكيات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وعادات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السكان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منطقة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عمل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برنامجك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تتضمن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أساليب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سبيل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المثال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الحصر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مواقع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الويب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ذات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الصلة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والتقارير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الوزارات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ذات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الصلة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ومؤشرات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الأداء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والصحف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إلخ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0"/>
        <w:gridCol w:w="7125"/>
        <w:tblGridChange w:id="0">
          <w:tblGrid>
            <w:gridCol w:w="2730"/>
            <w:gridCol w:w="7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bidi w:val="1"/>
              <w:rPr>
                <w:smallCaps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PESTLE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hd w:fill="ffffff" w:val="clear"/>
              <w:bidi w:val="1"/>
              <w:rPr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PESTLE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اختصار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للعوامل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الخارجية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الستة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السياسية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والاقتصادية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والاجتماعية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والتكنولوجية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والبيئية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والقانونية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PESTLE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أداة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لاستكشاف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العوامل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حتمل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تأثير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والضعف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والتهديدات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SWOT</w:t>
            </w:r>
          </w:p>
          <w:p w:rsidR="00000000" w:rsidDel="00000000" w:rsidP="00000000" w:rsidRDefault="00000000" w:rsidRPr="00000000" w14:paraId="00000029">
            <w:pPr>
              <w:rPr>
                <w:smallCaps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تمثل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نقاط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القوة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والضعف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والفرص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والتهديدات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SWOT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أداة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تقنية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تحليل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تستخدم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لتقييم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وتحليل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الخصائص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الأربع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للبرنامج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الأدبيات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الأبحاث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bidi w:val="1"/>
              <w:spacing w:line="259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التقارير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بيانات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مصنفة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حسب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الجنس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الذكور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والإناث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bidi w:val="1"/>
              <w:spacing w:line="259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التقييمات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حسب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الجنس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الذكور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والإناث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)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بما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ذلك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المؤشرات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الأساسية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للمساواة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الجنسين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وانتشار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العنف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القائم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نوع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الاجتماعي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ذكور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إناث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)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ومدى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تحكم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المرأة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الدخل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والموارد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ونسبة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الوفيات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bidi w:val="1"/>
              <w:spacing w:line="259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مؤشر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الفقر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bidi w:val="1"/>
              <w:spacing w:line="259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تقارير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والصرف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الصحي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والنظافة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إمكانية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الوصول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والحد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الأدنى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كميات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والمراحيض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المحسنة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والصحة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البيئية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والنظافة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المناسبة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bidi w:val="1"/>
              <w:spacing w:line="259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تقارير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منظمات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حكومية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منظمات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أخرى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حول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مشاريع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المياه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السابقة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المشاريع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ُ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خطط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لها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المنطقة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bidi w:val="1"/>
              <w:rPr>
                <w:smallCaps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الجذري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b w:val="1"/>
                <w:smallCaps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طريقة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تستخدم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لتحديد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الأسباب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الأساسية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للمشكلات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للمساعدة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تحديد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الحلول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المناسبة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إطار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تطبيق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التكنولوجيا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TAF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أداة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لصنع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القرار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بخصوص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قابلية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التطبيق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وقابلية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التوسع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والاستدامة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لتقنية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معينة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للمياه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الصرف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الصحي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النظافة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WASH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)،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بهدف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توفير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دائمة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سياق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منطقة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محددة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والاستعداد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لتقديم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Subtitle"/>
        <w:bidi w:val="1"/>
        <w:rPr>
          <w:color w:val="2f5496"/>
          <w:sz w:val="24"/>
          <w:szCs w:val="24"/>
        </w:rPr>
      </w:pPr>
      <w:r w:rsidDel="00000000" w:rsidR="00000000" w:rsidRPr="00000000">
        <w:rPr>
          <w:color w:val="2f5496"/>
          <w:sz w:val="24"/>
          <w:szCs w:val="24"/>
          <w:rtl w:val="1"/>
        </w:rPr>
        <w:t xml:space="preserve">مراجعة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مصادر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2f5496"/>
          <w:sz w:val="24"/>
          <w:szCs w:val="24"/>
          <w:rtl w:val="1"/>
        </w:rPr>
        <w:t xml:space="preserve">الأولية</w:t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تشير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البيانات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الأولية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 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إلى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البيانات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المباشرة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التي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جمعها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الباحث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نفسه</w:t>
      </w:r>
      <w:r w:rsidDel="00000000" w:rsidR="00000000" w:rsidRPr="00000000">
        <w:rPr>
          <w:color w:val="202124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5295"/>
        <w:tblGridChange w:id="0">
          <w:tblGrid>
            <w:gridCol w:w="4680"/>
            <w:gridCol w:w="52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استطلاع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رأي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للسكان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استبيانات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استطلاعات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رأي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آراء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وخبراتهم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واقعهم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المتعلق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بمجال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تركيز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استبيانات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استطلاعات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رأي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تتيح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مقابلتهم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التصرف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وتحاول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مريح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ليتمكنوا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بصدق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خرائط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إبدأ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افتراض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المعرفة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قوة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المجتمعات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قادرة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ومطلعة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والموارد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يريدونها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لإيجاد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للقضايا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حددوها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حددها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يتضمن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إنشاء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خريطة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للمنطقة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والانخراط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محادثة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أفراد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الجولات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الميدانية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مسيرة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تستخدم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لمراقبة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ووصف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الموقع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وتوزيع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ومظاهر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سطح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والمناظر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الطبيعية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لمنطقة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سكن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يستهدفه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النقاش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المركزة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النقاش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المركزة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الآراء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والخبرات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وتساعد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الموضوعات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تساعد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المشاركون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النقاش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عبارة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ديموغرافية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مسبق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اختيارها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لخبرتهم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تجربتهم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bidi w:val="1"/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استمارات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مياه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الشرب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نماذج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مياه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DWQT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المنظمة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لتلبية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لتسجيل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وتنظيم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المياه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استمارات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التفتيش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استمارات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التفتيش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الصحي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هي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قوائم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فحص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قياسية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مصممة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لتقييم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عوامل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الخطر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الصحية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وإدارة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المخاطر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والتهديدات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الأخرى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للصحة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العامة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يمكن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تعديل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النماذج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لتناسب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احتياجات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highlight w:val="white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تستخدم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لتقييم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المصادر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الفعلية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والمحتملة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للتلوث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المياه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المختلفة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المقابلات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مسبقا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جزئي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مقدمي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الأساسيين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ناقلي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الرئيسيين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الرئيسي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التكويني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مقابلتهم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وقتهم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المقابلة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يتعلق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بصفتهم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فقد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مقابلتهم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الملاحظة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ستخدم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الملاحظة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لمعرفة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المزيد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تحدث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الملاحظة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بيانات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يراه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الباحث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ويمكن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استخدامه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للتحقق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صحة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جمعها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مسبق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البناء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القرارات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المستقبلية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يمكن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أن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تولد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الملاحظة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أفكار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لا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توفرها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طرق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أخرى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فمن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خلالها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يمكن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1"/>
              </w:rPr>
              <w:t xml:space="preserve">اكتشاف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التناقضات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يقول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الناس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أنهم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يفعلونه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يحدث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الواقع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النماذج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تجربة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المستخدم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تجربة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النماذج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وتجربة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المستخدم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تفضيلات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المستخدم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بسهولة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والمشكلات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سهولة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4A">
      <w:pPr>
        <w:shd w:fill="ffffff" w:val="clear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المراجع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bidi w:val="1"/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Harvey, S.A., (2018). </w:t>
      </w:r>
      <w:r w:rsidDel="00000000" w:rsidR="00000000" w:rsidRPr="00000000">
        <w:rPr>
          <w:color w:val="131313"/>
          <w:sz w:val="24"/>
          <w:szCs w:val="24"/>
          <w:rtl w:val="0"/>
        </w:rPr>
        <w:t xml:space="preserve">Observe Before You Leap: Why Observation Provides Critical Insights for Formative Research and Intervention Design That You'll Never Get From Focus Groups, Interviews, or KAP Surveys. </w:t>
      </w:r>
      <w:r w:rsidDel="00000000" w:rsidR="00000000" w:rsidRPr="00000000">
        <w:rPr>
          <w:i w:val="1"/>
          <w:sz w:val="24"/>
          <w:szCs w:val="24"/>
          <w:rtl w:val="0"/>
        </w:rPr>
        <w:t xml:space="preserve">Global Health: Science and Practice</w:t>
      </w:r>
      <w:r w:rsidDel="00000000" w:rsidR="00000000" w:rsidRPr="00000000">
        <w:rPr>
          <w:sz w:val="24"/>
          <w:szCs w:val="24"/>
          <w:rtl w:val="0"/>
        </w:rPr>
        <w:t xml:space="preserve">, 6(2):299-316; 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https://doi.org/10.9745/GHSP-D-17-00328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International Rescue Committee (2013). </w:t>
      </w:r>
      <w:r w:rsidDel="00000000" w:rsidR="00000000" w:rsidRPr="00000000">
        <w:rPr>
          <w:i w:val="1"/>
          <w:sz w:val="24"/>
          <w:szCs w:val="24"/>
          <w:rtl w:val="0"/>
        </w:rPr>
        <w:t xml:space="preserve">Technology Applicability Framework.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Technology Applicability Framework :: IRC (ircwash.org)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Mind Tools (2022). </w:t>
      </w:r>
      <w:r w:rsidDel="00000000" w:rsidR="00000000" w:rsidRPr="00000000">
        <w:rPr>
          <w:color w:val="333333"/>
          <w:rtl w:val="0"/>
        </w:rPr>
        <w:t xml:space="preserve">Root Cause Analysis</w:t>
      </w:r>
      <w:r w:rsidDel="00000000" w:rsidR="00000000" w:rsidRPr="00000000">
        <w:rPr>
          <w:b w:val="1"/>
          <w:color w:val="333333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Tracing a Problem to Its Origins</w:t>
      </w:r>
      <w:r w:rsidDel="00000000" w:rsidR="00000000" w:rsidRPr="00000000">
        <w:rPr>
          <w:rtl w:val="0"/>
        </w:rPr>
        <w:t xml:space="preserve">.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https://www.mindtools.com/pages/article/newTMC_80.htm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Mind Tools (2022).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SWOT Analysis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Understanding Your Business, Informing Your Strategy. </w:t>
      </w:r>
      <w:r w:rsidDel="00000000" w:rsidR="00000000" w:rsidRPr="00000000">
        <w:rPr>
          <w:rtl w:val="0"/>
        </w:rPr>
        <w:t xml:space="preserve">(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https://www.mindtools.com/pages/article/newTMC_05.htm#:~:text=SWOT%20stands%20for%20Strengths%2C%20Weaknesses,successful%20strategy%20for%20the%20future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WASH Techproject (2013). </w:t>
      </w:r>
      <w:r w:rsidDel="00000000" w:rsidR="00000000" w:rsidRPr="00000000">
        <w:rPr>
          <w:i w:val="1"/>
          <w:sz w:val="24"/>
          <w:szCs w:val="24"/>
          <w:rtl w:val="0"/>
        </w:rPr>
        <w:t xml:space="preserve">Welcome to the TAF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[TAF] Technology Applicability Framework – and Technology Introduction Process for international development (wordpress.com)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WaterAid. (2005). Community mapping tool for community organising: Guideline for WaterAid Programmes and Partners.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https://washmatters.wateraid.org/publications/community-mapping-a-tool-for-community-organising-2005-0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World Health Organization.</w:t>
      </w:r>
      <w:r w:rsidDel="00000000" w:rsidR="00000000" w:rsidRPr="00000000">
        <w:rPr>
          <w:i w:val="1"/>
          <w:sz w:val="24"/>
          <w:szCs w:val="24"/>
          <w:rtl w:val="0"/>
        </w:rPr>
        <w:t xml:space="preserve"> Small Water Supply Management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Water Sanitation and Health (who.int)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D589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996BA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96BA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1952F6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link w:val="Heading6Char"/>
    <w:uiPriority w:val="9"/>
    <w:unhideWhenUsed w:val="1"/>
    <w:qFormat w:val="1"/>
    <w:rsid w:val="008B4A53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en-CA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7A1A04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6Char" w:customStyle="1">
    <w:name w:val="Heading 6 Char"/>
    <w:basedOn w:val="DefaultParagraphFont"/>
    <w:link w:val="Heading6"/>
    <w:uiPriority w:val="9"/>
    <w:rsid w:val="008B4A53"/>
    <w:rPr>
      <w:rFonts w:ascii="Times New Roman" w:cs="Times New Roman" w:eastAsia="Times New Roman" w:hAnsi="Times New Roman"/>
      <w:b w:val="1"/>
      <w:bCs w:val="1"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 w:val="1"/>
    <w:rsid w:val="008B4A53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8B4A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 w:val="1"/>
    <w:rsid w:val="008B4A53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D30EDC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7D589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93615E"/>
    <w:pPr>
      <w:ind w:left="720"/>
      <w:contextualSpacing w:val="1"/>
    </w:p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996BAE"/>
    <w:rPr>
      <w:rFonts w:eastAsiaTheme="minorEastAsia"/>
      <w:color w:val="5a5a5a" w:themeColor="text1" w:themeTint="0000A5"/>
      <w:spacing w:val="15"/>
    </w:rPr>
  </w:style>
  <w:style w:type="character" w:styleId="BookTitle">
    <w:name w:val="Book Title"/>
    <w:basedOn w:val="DefaultParagraphFont"/>
    <w:uiPriority w:val="33"/>
    <w:qFormat w:val="1"/>
    <w:rsid w:val="00996BAE"/>
    <w:rPr>
      <w:b w:val="1"/>
      <w:bCs w:val="1"/>
      <w:i w:val="1"/>
      <w:iCs w:val="1"/>
      <w:spacing w:val="5"/>
    </w:rPr>
  </w:style>
  <w:style w:type="character" w:styleId="IntenseReference">
    <w:name w:val="Intense Reference"/>
    <w:basedOn w:val="DefaultParagraphFont"/>
    <w:uiPriority w:val="32"/>
    <w:qFormat w:val="1"/>
    <w:rsid w:val="00996BAE"/>
    <w:rPr>
      <w:b w:val="1"/>
      <w:bCs w:val="1"/>
      <w:smallCaps w:val="1"/>
      <w:color w:val="4472c4" w:themeColor="accent1"/>
      <w:spacing w:val="5"/>
    </w:rPr>
  </w:style>
  <w:style w:type="character" w:styleId="Heading2Char" w:customStyle="1">
    <w:name w:val="Heading 2 Char"/>
    <w:basedOn w:val="DefaultParagraphFont"/>
    <w:link w:val="Heading2"/>
    <w:uiPriority w:val="9"/>
    <w:rsid w:val="00996BAE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Spacing">
    <w:name w:val="No Spacing"/>
    <w:uiPriority w:val="1"/>
    <w:qFormat w:val="1"/>
    <w:rsid w:val="00996BAE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996BAE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952F6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hgkelc" w:customStyle="1">
    <w:name w:val="hgkelc"/>
    <w:basedOn w:val="DefaultParagraphFont"/>
    <w:rsid w:val="001952F6"/>
  </w:style>
  <w:style w:type="character" w:styleId="Heading7Char" w:customStyle="1">
    <w:name w:val="Heading 7 Char"/>
    <w:basedOn w:val="DefaultParagraphFont"/>
    <w:link w:val="Heading7"/>
    <w:uiPriority w:val="9"/>
    <w:rsid w:val="007A1A04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table" w:styleId="TableGrid">
    <w:name w:val="Table Grid"/>
    <w:basedOn w:val="TableNormal"/>
    <w:uiPriority w:val="39"/>
    <w:rsid w:val="007A1A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114C4"/>
    <w:rPr>
      <w:color w:val="605e5c"/>
      <w:shd w:color="auto" w:fill="e1dfdd" w:val="clear"/>
    </w:rPr>
  </w:style>
  <w:style w:type="character" w:styleId="highwire-citation-author" w:customStyle="1">
    <w:name w:val="highwire-citation-author"/>
    <w:basedOn w:val="DefaultParagraphFont"/>
    <w:rsid w:val="00424156"/>
  </w:style>
  <w:style w:type="character" w:styleId="highwire-cite-metadata-journal" w:customStyle="1">
    <w:name w:val="highwire-cite-metadata-journal"/>
    <w:basedOn w:val="DefaultParagraphFont"/>
    <w:rsid w:val="00424156"/>
  </w:style>
  <w:style w:type="character" w:styleId="highwire-cite-metadata-date" w:customStyle="1">
    <w:name w:val="highwire-cite-metadata-date"/>
    <w:basedOn w:val="DefaultParagraphFont"/>
    <w:rsid w:val="00424156"/>
  </w:style>
  <w:style w:type="character" w:styleId="highwire-cite-metadata-vol-iss-page" w:customStyle="1">
    <w:name w:val="highwire-cite-metadata-vol-iss-page"/>
    <w:basedOn w:val="DefaultParagraphFont"/>
    <w:rsid w:val="00424156"/>
  </w:style>
  <w:style w:type="character" w:styleId="highwire-cite-metadata-doi" w:customStyle="1">
    <w:name w:val="highwire-cite-metadata-doi"/>
    <w:basedOn w:val="DefaultParagraphFont"/>
    <w:rsid w:val="00424156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7399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7399"/>
    <w:rPr>
      <w:rFonts w:ascii="Times New Roman" w:cs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97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973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97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9739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97399"/>
    <w:rPr>
      <w:b w:val="1"/>
      <w:bCs w:val="1"/>
      <w:sz w:val="20"/>
      <w:szCs w:val="20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indtools.com/pages/article/newTMC_80.htm" TargetMode="External"/><Relationship Id="rId10" Type="http://schemas.openxmlformats.org/officeDocument/2006/relationships/hyperlink" Target="https://www.ircwash.org/tools/technology-applicability-framework" TargetMode="External"/><Relationship Id="rId13" Type="http://schemas.openxmlformats.org/officeDocument/2006/relationships/hyperlink" Target="https://technologyapplicability.wordpress.com/" TargetMode="External"/><Relationship Id="rId12" Type="http://schemas.openxmlformats.org/officeDocument/2006/relationships/hyperlink" Target="https://www.mindtools.com/pages/article/newTMC_05.htm#:~:text=SWOT%20stands%20for%20Strengths%2C%20Weaknesses,successful%20strategy%20for%20the%20futu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9745/GHSP-D-17-00328" TargetMode="External"/><Relationship Id="rId15" Type="http://schemas.openxmlformats.org/officeDocument/2006/relationships/hyperlink" Target="https://www.who.int/teams/environment-climate-change-and-health/water-sanitation-and-health/water-safety-and-quality/small-water-supply-management" TargetMode="External"/><Relationship Id="rId14" Type="http://schemas.openxmlformats.org/officeDocument/2006/relationships/hyperlink" Target="https://washmatters.wateraid.org/publications/community-mapping-a-tool-for-community-organising-2005-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/Dic5p41HWe+jkicI39yrTqzFA==">AMUW2mXinHJ8nPsYcHHrFWYj7UUFKKdKB03t6xp43pBv+wddEIjBaFb+tJJhWunCt24v/Ip46daolPDo4hbTKMKFLPKjZffA+oF1QTuS1dZHgMX2hYhSSKE=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2022-06-15T00:06:00Z</dcterms:created>
  <dc:creator>Becky Morante</dc:creator>
</cp:coreProperties>
</file>