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A7716" w14:textId="77777777" w:rsidR="00A24A9C" w:rsidRPr="00795883" w:rsidRDefault="001E6F9F" w:rsidP="00C64C17">
      <w:pPr>
        <w:tabs>
          <w:tab w:val="right" w:pos="9360"/>
        </w:tabs>
        <w:rPr>
          <w:rFonts w:cs="Arial"/>
          <w:b/>
          <w:szCs w:val="22"/>
          <w:lang w:val="fr-FR"/>
        </w:rPr>
      </w:pPr>
      <w:r w:rsidRPr="00795883">
        <w:rPr>
          <w:lang w:val="fr-FR" w:eastAsia="en-CA"/>
        </w:rPr>
        <w:drawing>
          <wp:anchor distT="0" distB="0" distL="114300" distR="114300" simplePos="0" relativeHeight="251676160" behindDoc="1" locked="0" layoutInCell="1" allowOverlap="1" wp14:anchorId="2692A6EF" wp14:editId="02E49647">
            <wp:simplePos x="0" y="0"/>
            <wp:positionH relativeFrom="column">
              <wp:posOffset>4773930</wp:posOffset>
            </wp:positionH>
            <wp:positionV relativeFrom="paragraph">
              <wp:posOffset>-120015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795883">
        <w:rPr>
          <w:rStyle w:val="Heading2Char"/>
          <w:lang w:val="fr-FR"/>
        </w:rPr>
        <w:t>Plan de cours : analyse des études de cas</w:t>
      </w:r>
      <w:r w:rsidR="00917B36" w:rsidRPr="00795883">
        <w:rPr>
          <w:rFonts w:cs="Arial"/>
          <w:b/>
          <w:szCs w:val="22"/>
          <w:lang w:val="fr-FR"/>
        </w:rPr>
        <w:tab/>
      </w:r>
      <w:r w:rsidR="00267532" w:rsidRPr="00795883">
        <w:rPr>
          <w:rFonts w:cs="Arial"/>
          <w:b/>
          <w:szCs w:val="22"/>
          <w:lang w:val="fr-FR"/>
        </w:rPr>
        <w:t xml:space="preserve">40 à 60 </w:t>
      </w:r>
    </w:p>
    <w:p w14:paraId="5BB78499" w14:textId="7CAA55BA" w:rsidR="00917B36" w:rsidRPr="00795883" w:rsidRDefault="00A24A9C" w:rsidP="00C64C17">
      <w:pPr>
        <w:tabs>
          <w:tab w:val="right" w:pos="9360"/>
        </w:tabs>
        <w:rPr>
          <w:rFonts w:cs="Arial"/>
          <w:b/>
          <w:color w:val="FF0000"/>
          <w:sz w:val="28"/>
          <w:szCs w:val="28"/>
          <w:lang w:val="fr-FR"/>
        </w:rPr>
      </w:pPr>
      <w:r w:rsidRPr="00795883">
        <w:rPr>
          <w:rFonts w:cs="Arial"/>
          <w:b/>
          <w:szCs w:val="22"/>
          <w:lang w:val="fr-FR"/>
        </w:rPr>
        <w:tab/>
      </w:r>
      <w:r w:rsidRPr="00795883">
        <w:rPr>
          <w:rFonts w:cs="Arial"/>
          <w:b/>
          <w:lang w:val="fr-FR"/>
        </w:rPr>
        <w:t>minutes</w:t>
      </w:r>
    </w:p>
    <w:p w14:paraId="2A66D174" w14:textId="50C72842" w:rsidR="00917B36" w:rsidRPr="00795883" w:rsidRDefault="00EF2B30" w:rsidP="00917B36">
      <w:pPr>
        <w:rPr>
          <w:rFonts w:cs="Arial"/>
          <w:b/>
          <w:szCs w:val="22"/>
          <w:lang w:val="fr-FR"/>
        </w:rPr>
      </w:pPr>
      <w:r w:rsidRPr="00795883">
        <w:rPr>
          <w:rFonts w:cs="Arial"/>
          <w:b/>
          <w:szCs w:val="22"/>
          <w:lang w:val="fr-FR"/>
        </w:rPr>
        <w:pict w14:anchorId="1B8ED145">
          <v:rect id="_x0000_i1025" style="width:0;height:1.5pt" o:hralign="center" o:hrstd="t" o:hr="t" fillcolor="gray" stroked="f"/>
        </w:pict>
      </w:r>
    </w:p>
    <w:p w14:paraId="457E09E2" w14:textId="77777777" w:rsidR="00E91CDC" w:rsidRPr="00795883" w:rsidRDefault="00E91CDC" w:rsidP="00E91CDC">
      <w:pPr>
        <w:rPr>
          <w:rFonts w:cs="Arial"/>
          <w:b/>
          <w:szCs w:val="22"/>
          <w:lang w:val="fr-FR"/>
        </w:rPr>
      </w:pPr>
      <w:r w:rsidRPr="00795883">
        <w:rPr>
          <w:rFonts w:cs="Arial"/>
          <w:b/>
          <w:lang w:val="fr-FR"/>
        </w:rPr>
        <w:t>Description du cours</w:t>
      </w:r>
    </w:p>
    <w:p w14:paraId="0F4E0C87" w14:textId="77777777" w:rsidR="00E91CDC" w:rsidRPr="00795883" w:rsidRDefault="00E91CDC" w:rsidP="00565946">
      <w:pPr>
        <w:ind w:left="851"/>
        <w:rPr>
          <w:rFonts w:cs="Arial"/>
          <w:szCs w:val="22"/>
          <w:lang w:val="fr-FR"/>
        </w:rPr>
      </w:pPr>
      <w:r w:rsidRPr="00795883">
        <w:rPr>
          <w:lang w:val="fr-FR" w:eastAsia="en-CA"/>
        </w:rPr>
        <w:drawing>
          <wp:anchor distT="0" distB="0" distL="114300" distR="114300" simplePos="0" relativeHeight="251692544" behindDoc="1" locked="0" layoutInCell="1" allowOverlap="1" wp14:anchorId="50FF0A0C" wp14:editId="63316139">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40436053" w14:textId="2270F6E3" w:rsidR="00BD088B" w:rsidRPr="00795883" w:rsidRDefault="00037379" w:rsidP="00BD088B">
      <w:pPr>
        <w:ind w:left="851"/>
        <w:rPr>
          <w:rFonts w:cs="Arial"/>
          <w:b/>
          <w:szCs w:val="22"/>
          <w:lang w:val="fr-FR"/>
        </w:rPr>
      </w:pPr>
      <w:r w:rsidRPr="00795883">
        <w:rPr>
          <w:rFonts w:cs="Arial"/>
          <w:color w:val="000000" w:themeColor="text1"/>
          <w:lang w:val="fr-FR"/>
        </w:rPr>
        <w:t>Ce cours est une analyse des études de cas et des cahiers d'exercice. Les groupes présenteront leurs recommandations pour améliorer leurs chaînes des services de l'assainissement. Les participants donneront des retours aux groupes sur les risques et les opportunités qu'ils vont identifier.</w:t>
      </w:r>
    </w:p>
    <w:p w14:paraId="1113C335" w14:textId="77777777" w:rsidR="00C2601A" w:rsidRPr="00795883" w:rsidRDefault="00C2601A" w:rsidP="00D50527">
      <w:pPr>
        <w:rPr>
          <w:rFonts w:cs="Arial"/>
          <w:b/>
          <w:szCs w:val="22"/>
          <w:lang w:val="fr-FR"/>
        </w:rPr>
      </w:pPr>
    </w:p>
    <w:p w14:paraId="3E3478A8" w14:textId="77777777" w:rsidR="00917B36" w:rsidRPr="00795883" w:rsidRDefault="00795883" w:rsidP="00E91CDC">
      <w:pPr>
        <w:rPr>
          <w:rFonts w:cs="Arial"/>
          <w:b/>
          <w:szCs w:val="22"/>
          <w:lang w:val="fr-FR"/>
        </w:rPr>
      </w:pPr>
      <w:r w:rsidRPr="00795883">
        <w:rPr>
          <w:rFonts w:cs="Arial"/>
          <w:b/>
          <w:szCs w:val="22"/>
          <w:lang w:val="fr-FR"/>
        </w:rPr>
        <w:pict w14:anchorId="786BB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415B65" w:rsidRPr="00795883">
        <w:rPr>
          <w:rFonts w:cs="Arial"/>
          <w:b/>
          <w:lang w:val="fr-FR"/>
        </w:rPr>
        <w:t>Résultats d'apprentissage</w:t>
      </w:r>
    </w:p>
    <w:p w14:paraId="7E05ABE8" w14:textId="77777777" w:rsidR="00323EFC" w:rsidRPr="00795883" w:rsidRDefault="00323EFC" w:rsidP="00917B36">
      <w:pPr>
        <w:rPr>
          <w:rFonts w:cs="Arial"/>
          <w:szCs w:val="22"/>
          <w:lang w:val="fr-FR"/>
        </w:rPr>
      </w:pPr>
      <w:r w:rsidRPr="00795883">
        <w:rPr>
          <w:lang w:val="fr-FR" w:eastAsia="en-CA"/>
        </w:rPr>
        <w:drawing>
          <wp:anchor distT="0" distB="0" distL="114300" distR="114300" simplePos="0" relativeHeight="251677184" behindDoc="1" locked="0" layoutInCell="1" allowOverlap="1" wp14:anchorId="56BF0B66" wp14:editId="7A252064">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3AA0CC2E" w14:textId="77777777" w:rsidR="00A70F27" w:rsidRPr="00795883" w:rsidRDefault="00323EFC" w:rsidP="00323EFC">
      <w:pPr>
        <w:spacing w:line="360" w:lineRule="auto"/>
        <w:rPr>
          <w:rFonts w:cs="Arial"/>
          <w:szCs w:val="22"/>
          <w:lang w:val="fr-FR"/>
        </w:rPr>
      </w:pPr>
      <w:r w:rsidRPr="00795883">
        <w:rPr>
          <w:rFonts w:cs="Arial"/>
          <w:b/>
          <w:szCs w:val="22"/>
          <w:lang w:val="fr-FR"/>
        </w:rPr>
        <w:tab/>
      </w:r>
      <w:r w:rsidRPr="00795883">
        <w:rPr>
          <w:rFonts w:cs="Arial"/>
          <w:lang w:val="fr-FR"/>
        </w:rPr>
        <w:t>À la fin de cette session, les participants pourront :</w:t>
      </w:r>
    </w:p>
    <w:p w14:paraId="52EF2CA0" w14:textId="62BC2DFE" w:rsidR="00267532" w:rsidRPr="00795883" w:rsidRDefault="00267532" w:rsidP="00917B36">
      <w:pPr>
        <w:numPr>
          <w:ilvl w:val="0"/>
          <w:numId w:val="4"/>
        </w:numPr>
        <w:tabs>
          <w:tab w:val="num" w:pos="2444"/>
        </w:tabs>
        <w:spacing w:after="120"/>
        <w:rPr>
          <w:rFonts w:cs="Arial"/>
          <w:szCs w:val="22"/>
          <w:lang w:val="fr-FR"/>
        </w:rPr>
      </w:pPr>
      <w:r w:rsidRPr="00795883">
        <w:rPr>
          <w:rFonts w:cs="Arial"/>
          <w:lang w:val="fr-FR"/>
        </w:rPr>
        <w:t>Discuter de leurs recommandations pour l'étude de cas.</w:t>
      </w:r>
    </w:p>
    <w:p w14:paraId="2FA469F4" w14:textId="11CE7B01" w:rsidR="007B1CA8" w:rsidRPr="00795883" w:rsidRDefault="00DA178B" w:rsidP="00267532">
      <w:pPr>
        <w:numPr>
          <w:ilvl w:val="0"/>
          <w:numId w:val="4"/>
        </w:numPr>
        <w:tabs>
          <w:tab w:val="num" w:pos="2444"/>
        </w:tabs>
        <w:spacing w:after="120"/>
        <w:rPr>
          <w:rFonts w:cs="Arial"/>
          <w:szCs w:val="22"/>
          <w:lang w:val="fr-FR"/>
        </w:rPr>
      </w:pPr>
      <w:r w:rsidRPr="00795883">
        <w:rPr>
          <w:rFonts w:cs="Arial"/>
          <w:lang w:val="fr-FR"/>
        </w:rPr>
        <w:t>Discuter des opportunités et des risques de la chaîne des services de gestion des boues de vidange de chaque groupe.</w:t>
      </w:r>
    </w:p>
    <w:p w14:paraId="716A56E5" w14:textId="5C6E4D5C" w:rsidR="00917B36" w:rsidRPr="00795883" w:rsidRDefault="00EF2B30" w:rsidP="004A5018">
      <w:pPr>
        <w:tabs>
          <w:tab w:val="num" w:pos="2444"/>
        </w:tabs>
        <w:spacing w:after="120"/>
        <w:rPr>
          <w:rFonts w:cs="Arial"/>
          <w:b/>
          <w:szCs w:val="22"/>
          <w:lang w:val="fr-FR"/>
        </w:rPr>
      </w:pPr>
      <w:r w:rsidRPr="00795883">
        <w:rPr>
          <w:rFonts w:cs="Arial"/>
          <w:b/>
          <w:szCs w:val="22"/>
          <w:lang w:val="fr-FR"/>
        </w:rPr>
        <w:pict w14:anchorId="7D58A272">
          <v:rect id="_x0000_i1027" style="width:409.05pt;height:1pt" o:hrpct="988" o:hralign="center" o:hrstd="t" o:hr="t" fillcolor="gray" stroked="f"/>
        </w:pict>
      </w:r>
    </w:p>
    <w:p w14:paraId="17948F66" w14:textId="77777777" w:rsidR="003364FD" w:rsidRPr="00795883" w:rsidRDefault="003364FD" w:rsidP="00917B36">
      <w:pPr>
        <w:rPr>
          <w:rFonts w:cs="Arial"/>
          <w:b/>
          <w:szCs w:val="22"/>
          <w:lang w:val="fr-FR"/>
        </w:rPr>
      </w:pPr>
      <w:r w:rsidRPr="00795883">
        <w:rPr>
          <w:rFonts w:cs="Arial"/>
          <w:b/>
          <w:lang w:val="fr-FR"/>
        </w:rPr>
        <w:t>Matériel</w:t>
      </w:r>
    </w:p>
    <w:p w14:paraId="394DE770" w14:textId="77777777" w:rsidR="003364FD" w:rsidRPr="00795883" w:rsidRDefault="0013687C" w:rsidP="00917B36">
      <w:pPr>
        <w:rPr>
          <w:rFonts w:cs="Arial"/>
          <w:szCs w:val="22"/>
          <w:lang w:val="fr-FR"/>
        </w:rPr>
      </w:pPr>
      <w:r w:rsidRPr="00795883">
        <w:rPr>
          <w:rFonts w:cs="Arial"/>
          <w:lang w:val="fr-FR" w:eastAsia="en-CA"/>
        </w:rPr>
        <w:drawing>
          <wp:anchor distT="0" distB="0" distL="114300" distR="114300" simplePos="0" relativeHeight="251678208" behindDoc="1" locked="0" layoutInCell="1" allowOverlap="1" wp14:anchorId="4C5CF503" wp14:editId="253048D6">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0E6C2499" w14:textId="6D18E0F5" w:rsidR="00267532" w:rsidRPr="00795883" w:rsidRDefault="00267532" w:rsidP="00BD088B">
      <w:pPr>
        <w:numPr>
          <w:ilvl w:val="0"/>
          <w:numId w:val="1"/>
        </w:numPr>
        <w:rPr>
          <w:rFonts w:cs="Arial"/>
          <w:b/>
          <w:szCs w:val="22"/>
          <w:lang w:val="fr-FR"/>
        </w:rPr>
      </w:pPr>
      <w:r w:rsidRPr="00795883">
        <w:rPr>
          <w:rFonts w:cs="Arial"/>
          <w:lang w:val="fr-FR"/>
        </w:rPr>
        <w:t>Tableau à feuilles mobiles</w:t>
      </w:r>
    </w:p>
    <w:p w14:paraId="7CB4940B" w14:textId="149DFF1D" w:rsidR="00BD088B" w:rsidRPr="00795883" w:rsidRDefault="00267532" w:rsidP="00BD088B">
      <w:pPr>
        <w:numPr>
          <w:ilvl w:val="0"/>
          <w:numId w:val="1"/>
        </w:numPr>
        <w:rPr>
          <w:rFonts w:cs="Arial"/>
          <w:b/>
          <w:szCs w:val="22"/>
          <w:lang w:val="fr-FR"/>
        </w:rPr>
      </w:pPr>
      <w:r w:rsidRPr="00795883">
        <w:rPr>
          <w:rFonts w:cs="Arial"/>
          <w:lang w:val="fr-FR"/>
        </w:rPr>
        <w:t>Marqueurs</w:t>
      </w:r>
    </w:p>
    <w:p w14:paraId="0C50B9BB" w14:textId="35A9E6C5" w:rsidR="00A24A9C" w:rsidRPr="00795883" w:rsidRDefault="00A24A9C" w:rsidP="00BD088B">
      <w:pPr>
        <w:numPr>
          <w:ilvl w:val="0"/>
          <w:numId w:val="1"/>
        </w:numPr>
        <w:rPr>
          <w:rFonts w:cs="Arial"/>
          <w:b/>
          <w:szCs w:val="22"/>
          <w:lang w:val="fr-FR"/>
        </w:rPr>
      </w:pPr>
      <w:r w:rsidRPr="00795883">
        <w:rPr>
          <w:rFonts w:cs="Arial"/>
          <w:lang w:val="fr-FR"/>
        </w:rPr>
        <w:t>Études de cas et cahier d'exercices sur la gestion des boues de vidange</w:t>
      </w:r>
    </w:p>
    <w:p w14:paraId="5A70C193" w14:textId="77777777" w:rsidR="00471438" w:rsidRPr="00795883" w:rsidRDefault="00471438" w:rsidP="00C7739D">
      <w:pPr>
        <w:ind w:left="1152"/>
        <w:rPr>
          <w:rFonts w:cs="Arial"/>
          <w:b/>
          <w:szCs w:val="22"/>
          <w:lang w:val="fr-FR"/>
        </w:rPr>
      </w:pPr>
    </w:p>
    <w:p w14:paraId="67ECE3BC" w14:textId="77777777" w:rsidR="003364FD" w:rsidRPr="00795883" w:rsidRDefault="00EF2B30" w:rsidP="00917B36">
      <w:pPr>
        <w:rPr>
          <w:rFonts w:cs="Arial"/>
          <w:b/>
          <w:szCs w:val="22"/>
          <w:lang w:val="fr-FR"/>
        </w:rPr>
      </w:pPr>
      <w:r w:rsidRPr="00795883">
        <w:rPr>
          <w:rFonts w:cs="Arial"/>
          <w:b/>
          <w:szCs w:val="22"/>
          <w:lang w:val="fr-FR"/>
        </w:rPr>
        <w:pict w14:anchorId="4866FDED">
          <v:rect id="_x0000_i1028" style="width:0;height:1.5pt" o:hralign="center" o:hrstd="t" o:hr="t" fillcolor="gray" stroked="f"/>
        </w:pict>
      </w:r>
    </w:p>
    <w:p w14:paraId="05E996D8" w14:textId="77777777" w:rsidR="00917B36" w:rsidRPr="00795883" w:rsidRDefault="00917B36" w:rsidP="00917B36">
      <w:pPr>
        <w:rPr>
          <w:rFonts w:cs="Arial"/>
          <w:b/>
          <w:szCs w:val="22"/>
          <w:lang w:val="fr-FR"/>
        </w:rPr>
      </w:pPr>
      <w:r w:rsidRPr="00795883">
        <w:rPr>
          <w:rFonts w:cs="Arial"/>
          <w:b/>
          <w:lang w:val="fr-FR"/>
        </w:rPr>
        <w:t>Préparation</w:t>
      </w:r>
    </w:p>
    <w:p w14:paraId="6D4C8407" w14:textId="77777777" w:rsidR="003364FD" w:rsidRPr="00795883" w:rsidRDefault="0013687C" w:rsidP="00917B36">
      <w:pPr>
        <w:rPr>
          <w:rFonts w:cs="Arial"/>
          <w:szCs w:val="22"/>
          <w:lang w:val="fr-FR"/>
        </w:rPr>
      </w:pPr>
      <w:r w:rsidRPr="00795883">
        <w:rPr>
          <w:lang w:val="fr-FR" w:eastAsia="en-CA"/>
        </w:rPr>
        <w:drawing>
          <wp:anchor distT="0" distB="0" distL="114300" distR="114300" simplePos="0" relativeHeight="251679232" behindDoc="1" locked="0" layoutInCell="1" allowOverlap="1" wp14:anchorId="3228522D" wp14:editId="4FE56376">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54F0253F" w14:textId="39518265" w:rsidR="00F10375" w:rsidRPr="00795883" w:rsidRDefault="00267532" w:rsidP="001E7BB5">
      <w:pPr>
        <w:numPr>
          <w:ilvl w:val="0"/>
          <w:numId w:val="1"/>
        </w:numPr>
        <w:spacing w:after="120"/>
        <w:rPr>
          <w:rFonts w:cs="Arial"/>
          <w:szCs w:val="22"/>
          <w:lang w:val="fr-FR"/>
        </w:rPr>
      </w:pPr>
      <w:r w:rsidRPr="00795883">
        <w:rPr>
          <w:rFonts w:cs="Arial"/>
          <w:lang w:val="fr-FR"/>
        </w:rPr>
        <w:t>Placez une feuille mobile et un marqueur à la table de chaque groupe.</w:t>
      </w:r>
    </w:p>
    <w:p w14:paraId="6B0AE415" w14:textId="77777777" w:rsidR="00267532" w:rsidRPr="00795883" w:rsidRDefault="00267532" w:rsidP="00267532">
      <w:pPr>
        <w:spacing w:after="120"/>
        <w:ind w:left="1152"/>
        <w:rPr>
          <w:rFonts w:cs="Arial"/>
          <w:szCs w:val="22"/>
          <w:lang w:val="fr-FR"/>
        </w:rPr>
      </w:pPr>
    </w:p>
    <w:p w14:paraId="0C2C5BD1" w14:textId="07043CE7" w:rsidR="00917B36" w:rsidRPr="00795883" w:rsidRDefault="00EF2B30" w:rsidP="00532A92">
      <w:pPr>
        <w:rPr>
          <w:rFonts w:cs="Arial"/>
          <w:b/>
          <w:szCs w:val="22"/>
          <w:lang w:val="fr-FR"/>
        </w:rPr>
      </w:pPr>
      <w:r w:rsidRPr="00795883">
        <w:rPr>
          <w:rFonts w:cs="Arial"/>
          <w:b/>
          <w:szCs w:val="22"/>
          <w:lang w:val="fr-FR"/>
        </w:rPr>
        <w:pict w14:anchorId="2E257AEA">
          <v:rect id="_x0000_i1029" style="width:0;height:1.5pt" o:hralign="center" o:hrstd="t" o:hr="t" fillcolor="gray" stroked="f"/>
        </w:pict>
      </w:r>
      <w:r w:rsidR="008A7FC9" w:rsidRPr="00795883">
        <w:rPr>
          <w:rFonts w:cs="Arial"/>
          <w:b/>
          <w:lang w:val="fr-FR"/>
        </w:rPr>
        <w:t>Introduction</w:t>
      </w:r>
      <w:r w:rsidR="00ED5EB9" w:rsidRPr="00795883">
        <w:rPr>
          <w:rFonts w:cs="Arial"/>
          <w:b/>
          <w:szCs w:val="22"/>
          <w:lang w:val="fr-FR"/>
        </w:rPr>
        <w:tab/>
      </w:r>
      <w:r w:rsidR="00532A92" w:rsidRPr="00795883">
        <w:rPr>
          <w:rFonts w:cs="Arial"/>
          <w:b/>
          <w:szCs w:val="22"/>
          <w:lang w:val="fr-FR"/>
        </w:rPr>
        <w:tab/>
      </w:r>
      <w:r w:rsidR="00532A92" w:rsidRPr="00795883">
        <w:rPr>
          <w:rFonts w:cs="Arial"/>
          <w:b/>
          <w:szCs w:val="22"/>
          <w:lang w:val="fr-FR"/>
        </w:rPr>
        <w:tab/>
      </w:r>
      <w:r w:rsidR="00532A92" w:rsidRPr="00795883">
        <w:rPr>
          <w:rFonts w:cs="Arial"/>
          <w:b/>
          <w:szCs w:val="22"/>
          <w:lang w:val="fr-FR"/>
        </w:rPr>
        <w:tab/>
      </w:r>
      <w:r w:rsidR="00532A92" w:rsidRPr="00795883">
        <w:rPr>
          <w:rFonts w:cs="Arial"/>
          <w:b/>
          <w:szCs w:val="22"/>
          <w:lang w:val="fr-FR"/>
        </w:rPr>
        <w:tab/>
      </w:r>
      <w:r w:rsidR="00532A92" w:rsidRPr="00795883">
        <w:rPr>
          <w:rFonts w:cs="Arial"/>
          <w:b/>
          <w:szCs w:val="22"/>
          <w:lang w:val="fr-FR"/>
        </w:rPr>
        <w:tab/>
      </w:r>
      <w:r w:rsidR="00532A92" w:rsidRPr="00795883">
        <w:rPr>
          <w:rFonts w:cs="Arial"/>
          <w:b/>
          <w:szCs w:val="22"/>
          <w:lang w:val="fr-FR"/>
        </w:rPr>
        <w:tab/>
      </w:r>
      <w:r w:rsidR="00532A92" w:rsidRPr="00795883">
        <w:rPr>
          <w:rFonts w:cs="Arial"/>
          <w:b/>
          <w:szCs w:val="22"/>
          <w:lang w:val="fr-FR"/>
        </w:rPr>
        <w:tab/>
      </w:r>
      <w:r w:rsidR="00532A92" w:rsidRPr="00795883">
        <w:rPr>
          <w:rFonts w:cs="Arial"/>
          <w:b/>
          <w:szCs w:val="22"/>
          <w:lang w:val="fr-FR"/>
        </w:rPr>
        <w:tab/>
      </w:r>
      <w:r w:rsidR="00532A92" w:rsidRPr="00795883">
        <w:rPr>
          <w:rFonts w:cs="Arial"/>
          <w:b/>
          <w:szCs w:val="22"/>
          <w:lang w:val="fr-FR"/>
        </w:rPr>
        <w:tab/>
      </w:r>
      <w:r w:rsidR="008A7FC9" w:rsidRPr="00795883">
        <w:rPr>
          <w:rFonts w:cs="Arial"/>
          <w:b/>
          <w:lang w:val="fr-FR"/>
        </w:rPr>
        <w:t>3 minutes</w:t>
      </w:r>
    </w:p>
    <w:p w14:paraId="31EFA915" w14:textId="42BB950E" w:rsidR="007B1CA8" w:rsidRPr="00795883" w:rsidRDefault="007F6804" w:rsidP="00023A86">
      <w:pPr>
        <w:ind w:left="720"/>
        <w:rPr>
          <w:rFonts w:cs="Arial"/>
          <w:b/>
          <w:szCs w:val="22"/>
          <w:lang w:val="fr-FR"/>
        </w:rPr>
      </w:pPr>
      <w:r w:rsidRPr="00795883">
        <w:rPr>
          <w:lang w:val="fr-FR" w:eastAsia="en-CA"/>
        </w:rPr>
        <w:drawing>
          <wp:anchor distT="0" distB="0" distL="114300" distR="114300" simplePos="0" relativeHeight="251686400" behindDoc="1" locked="0" layoutInCell="1" allowOverlap="1" wp14:anchorId="6EE91CB3" wp14:editId="7FFEF9FB">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52365E40" w14:textId="48A12616" w:rsidR="007B1CA8" w:rsidRPr="00795883" w:rsidRDefault="00267532" w:rsidP="007B1CA8">
      <w:pPr>
        <w:numPr>
          <w:ilvl w:val="0"/>
          <w:numId w:val="5"/>
        </w:numPr>
        <w:spacing w:after="120"/>
        <w:ind w:hanging="357"/>
        <w:rPr>
          <w:rFonts w:cs="Arial"/>
          <w:szCs w:val="22"/>
          <w:lang w:val="fr-FR"/>
        </w:rPr>
      </w:pPr>
      <w:r w:rsidRPr="00795883">
        <w:rPr>
          <w:rFonts w:cs="Arial"/>
          <w:lang w:val="fr-FR"/>
        </w:rPr>
        <w:t>Divisez les participants en binômes en mélangeant les groupes. Demandez aux binômes de discuter de la phrase suivante : "Il y a de nombreuses opportunités mais aussi des risques à mettre en œuvre une chaîne des services de gestion des boues de vidange".  Faites un compte-rendu des discussions avec le groupe complet.</w:t>
      </w:r>
    </w:p>
    <w:p w14:paraId="5F922CE5" w14:textId="0960997F" w:rsidR="007B1CA8" w:rsidRPr="00795883" w:rsidRDefault="00A047E3" w:rsidP="00A047E3">
      <w:pPr>
        <w:pStyle w:val="ListParagraph"/>
        <w:numPr>
          <w:ilvl w:val="0"/>
          <w:numId w:val="5"/>
        </w:numPr>
        <w:spacing w:after="120"/>
        <w:contextualSpacing w:val="0"/>
        <w:rPr>
          <w:rFonts w:cs="Arial"/>
          <w:szCs w:val="22"/>
          <w:lang w:val="fr-FR"/>
        </w:rPr>
      </w:pPr>
      <w:r w:rsidRPr="00795883">
        <w:rPr>
          <w:rFonts w:cs="Arial"/>
          <w:lang w:val="fr-FR"/>
        </w:rPr>
        <w:t xml:space="preserve">Expliquez que nous apporterons des retours constructifs à la chaîne des services de gestion des boues de vidange de chaque groupe. Dites que nous voulons identifier les opportunités et les risques liés à la mise en œuvre des recommandations de chaque groupe.  </w:t>
      </w:r>
      <w:r w:rsidR="007B1CA8" w:rsidRPr="00795883">
        <w:rPr>
          <w:lang w:val="fr-FR" w:eastAsia="en-CA"/>
        </w:rPr>
        <w:drawing>
          <wp:anchor distT="0" distB="0" distL="114300" distR="114300" simplePos="0" relativeHeight="251701760" behindDoc="0" locked="0" layoutInCell="1" allowOverlap="1" wp14:anchorId="43BC309D" wp14:editId="25A1CB08">
            <wp:simplePos x="0" y="0"/>
            <wp:positionH relativeFrom="column">
              <wp:posOffset>0</wp:posOffset>
            </wp:positionH>
            <wp:positionV relativeFrom="paragraph">
              <wp:posOffset>0</wp:posOffset>
            </wp:positionV>
            <wp:extent cx="410210" cy="375285"/>
            <wp:effectExtent l="0" t="0" r="889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p>
    <w:p w14:paraId="241A5688" w14:textId="51BE16EB" w:rsidR="00F10375" w:rsidRPr="00795883" w:rsidRDefault="007B1CA8" w:rsidP="00267532">
      <w:pPr>
        <w:numPr>
          <w:ilvl w:val="0"/>
          <w:numId w:val="5"/>
        </w:numPr>
        <w:ind w:hanging="357"/>
        <w:rPr>
          <w:rFonts w:cs="Arial"/>
          <w:szCs w:val="22"/>
          <w:lang w:val="fr-FR"/>
        </w:rPr>
      </w:pPr>
      <w:r w:rsidRPr="00795883">
        <w:rPr>
          <w:rFonts w:cs="Arial"/>
          <w:lang w:val="fr-FR"/>
        </w:rPr>
        <w:t>Présentez la description du cours ou les résultats de cet apprentissage.</w:t>
      </w:r>
    </w:p>
    <w:p w14:paraId="217662D8" w14:textId="77777777" w:rsidR="00F10375" w:rsidRPr="00795883" w:rsidRDefault="00F10375" w:rsidP="00023A86">
      <w:pPr>
        <w:ind w:left="1080"/>
        <w:rPr>
          <w:rFonts w:cs="Arial"/>
          <w:szCs w:val="22"/>
          <w:lang w:val="fr-FR"/>
        </w:rPr>
      </w:pPr>
    </w:p>
    <w:p w14:paraId="46819944" w14:textId="77777777" w:rsidR="003052AB" w:rsidRPr="00795883" w:rsidRDefault="00EF2B30" w:rsidP="003052AB">
      <w:pPr>
        <w:rPr>
          <w:rFonts w:cs="Arial"/>
          <w:b/>
          <w:szCs w:val="22"/>
          <w:lang w:val="fr-FR"/>
        </w:rPr>
      </w:pPr>
      <w:r w:rsidRPr="00795883">
        <w:rPr>
          <w:rFonts w:cs="Arial"/>
          <w:b/>
          <w:szCs w:val="22"/>
          <w:lang w:val="fr-FR"/>
        </w:rPr>
        <w:pict w14:anchorId="73C9153B">
          <v:rect id="_x0000_i1030" style="width:0;height:1.5pt" o:hralign="center" o:hrstd="t" o:hr="t" fillcolor="gray" stroked="f"/>
        </w:pict>
      </w:r>
    </w:p>
    <w:p w14:paraId="74E1A550" w14:textId="1F4C52F3" w:rsidR="003052AB" w:rsidRPr="00795883" w:rsidRDefault="00C3626E" w:rsidP="003052AB">
      <w:pPr>
        <w:tabs>
          <w:tab w:val="right" w:pos="9360"/>
        </w:tabs>
        <w:rPr>
          <w:rFonts w:cs="Arial"/>
          <w:b/>
          <w:szCs w:val="22"/>
          <w:lang w:val="fr-FR"/>
        </w:rPr>
      </w:pPr>
      <w:r w:rsidRPr="00795883">
        <w:rPr>
          <w:rFonts w:cs="Arial"/>
          <w:b/>
          <w:lang w:val="fr-FR"/>
        </w:rPr>
        <w:t>Étude de cas</w:t>
      </w:r>
      <w:r w:rsidR="003052AB" w:rsidRPr="00795883">
        <w:rPr>
          <w:rFonts w:cs="Arial"/>
          <w:b/>
          <w:szCs w:val="22"/>
          <w:lang w:val="fr-FR"/>
        </w:rPr>
        <w:tab/>
      </w:r>
      <w:r w:rsidRPr="00795883">
        <w:rPr>
          <w:rFonts w:cs="Arial"/>
          <w:b/>
          <w:lang w:val="fr-FR"/>
        </w:rPr>
        <w:t>35-55 minutes</w:t>
      </w:r>
    </w:p>
    <w:p w14:paraId="0F8FD637" w14:textId="77777777" w:rsidR="003052AB" w:rsidRPr="00795883" w:rsidRDefault="003052AB" w:rsidP="003052AB">
      <w:pPr>
        <w:ind w:left="720"/>
        <w:rPr>
          <w:rFonts w:cs="Arial"/>
          <w:szCs w:val="22"/>
          <w:lang w:val="fr-FR"/>
        </w:rPr>
      </w:pPr>
      <w:r w:rsidRPr="00795883">
        <w:rPr>
          <w:lang w:val="fr-FR" w:eastAsia="en-CA"/>
        </w:rPr>
        <w:drawing>
          <wp:anchor distT="0" distB="0" distL="114300" distR="114300" simplePos="0" relativeHeight="251688448" behindDoc="0" locked="0" layoutInCell="1" allowOverlap="1" wp14:anchorId="04406CCD" wp14:editId="3C70E3D2">
            <wp:simplePos x="0" y="0"/>
            <wp:positionH relativeFrom="column">
              <wp:posOffset>-9525</wp:posOffset>
            </wp:positionH>
            <wp:positionV relativeFrom="paragraph">
              <wp:posOffset>59690</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0B87E471" w14:textId="0D17E908" w:rsidR="00267532" w:rsidRPr="00795883" w:rsidRDefault="00267532" w:rsidP="00C3626E">
      <w:pPr>
        <w:numPr>
          <w:ilvl w:val="0"/>
          <w:numId w:val="21"/>
        </w:numPr>
        <w:spacing w:after="120"/>
        <w:rPr>
          <w:rFonts w:cs="Arial"/>
          <w:szCs w:val="22"/>
          <w:lang w:val="fr-FR"/>
        </w:rPr>
      </w:pPr>
      <w:r w:rsidRPr="00795883">
        <w:rPr>
          <w:rFonts w:cs="Arial"/>
          <w:lang w:val="fr-FR"/>
        </w:rPr>
        <w:t xml:space="preserve">Dites aux participants qu'ils auront de 2 à 5 minutes pour présenter leurs recommandations pour améliorer leur chaîne des services de gestion des boues de </w:t>
      </w:r>
      <w:r w:rsidRPr="00795883">
        <w:rPr>
          <w:rFonts w:cs="Arial"/>
          <w:lang w:val="fr-FR"/>
        </w:rPr>
        <w:lastRenderedPageBreak/>
        <w:t xml:space="preserve">vidange. Ensuite, les participants auront 4 minutes pour poser des questions au groupe. </w:t>
      </w:r>
    </w:p>
    <w:p w14:paraId="2783415E" w14:textId="09BDDE7F" w:rsidR="00267532" w:rsidRPr="00795883" w:rsidRDefault="00C3626E" w:rsidP="00C3626E">
      <w:pPr>
        <w:numPr>
          <w:ilvl w:val="0"/>
          <w:numId w:val="21"/>
        </w:numPr>
        <w:spacing w:after="120"/>
        <w:rPr>
          <w:rFonts w:cs="Arial"/>
          <w:szCs w:val="22"/>
          <w:lang w:val="fr-FR"/>
        </w:rPr>
      </w:pPr>
      <w:r w:rsidRPr="00795883">
        <w:rPr>
          <w:rFonts w:cs="Arial"/>
          <w:lang w:val="fr-FR"/>
        </w:rPr>
        <w:t xml:space="preserve">Expliquez que les groupes doivent utiliser les marqueurs et les feuilles mobiles pour dessiner </w:t>
      </w:r>
      <w:r w:rsidR="00795883" w:rsidRPr="00795883">
        <w:rPr>
          <w:rFonts w:cs="Arial"/>
          <w:lang w:val="fr-FR"/>
        </w:rPr>
        <w:t>leurs chaînes</w:t>
      </w:r>
      <w:r w:rsidRPr="00795883">
        <w:rPr>
          <w:rFonts w:cs="Arial"/>
          <w:lang w:val="fr-FR"/>
        </w:rPr>
        <w:t xml:space="preserve"> des services de gestion des boues de vidange respectives et présenter leurs recommandations. Ils doivent inclure toutes les différentes composantes et recommandations dont ils ont discuté avec leur cahier d'exercices de gestion des boues de vidange. Ils ont 5 minutes pour faire leurs dessins. </w:t>
      </w:r>
    </w:p>
    <w:p w14:paraId="181C3BC1" w14:textId="001B8C4B" w:rsidR="00F10375" w:rsidRPr="00795883" w:rsidRDefault="00267532" w:rsidP="00C3626E">
      <w:pPr>
        <w:numPr>
          <w:ilvl w:val="0"/>
          <w:numId w:val="21"/>
        </w:numPr>
        <w:spacing w:after="120"/>
        <w:rPr>
          <w:rFonts w:cs="Arial"/>
          <w:szCs w:val="22"/>
          <w:lang w:val="fr-FR"/>
        </w:rPr>
      </w:pPr>
      <w:r w:rsidRPr="00795883">
        <w:rPr>
          <w:rFonts w:cs="Arial"/>
          <w:lang w:val="fr-FR"/>
        </w:rPr>
        <w:t>Demandez à chaque groupe de présenter ses recommandations pour améliorer sa chaîne des services de gestion des boues de vidange. Après 2 minutes, demandez aux autres participants s'ils</w:t>
      </w:r>
      <w:bookmarkStart w:id="0" w:name="_GoBack"/>
      <w:bookmarkEnd w:id="0"/>
      <w:r w:rsidRPr="00795883">
        <w:rPr>
          <w:rFonts w:cs="Arial"/>
          <w:lang w:val="fr-FR"/>
        </w:rPr>
        <w:t xml:space="preserve"> ont des questions à poser au groupe. Rappelez aux participants de penser aux opportunités et aux risques liés à la chaîne des services de gestion des boues de vidange choisie. </w:t>
      </w:r>
    </w:p>
    <w:p w14:paraId="40F2088D" w14:textId="0B2E0CC0" w:rsidR="00A700BD" w:rsidRPr="00795883" w:rsidRDefault="00EF2B30" w:rsidP="004A5018">
      <w:pPr>
        <w:pStyle w:val="ListParagraph"/>
        <w:ind w:left="0"/>
        <w:rPr>
          <w:b/>
          <w:lang w:val="fr-FR"/>
        </w:rPr>
      </w:pPr>
      <w:r w:rsidRPr="00795883">
        <w:rPr>
          <w:lang w:val="fr-FR"/>
        </w:rPr>
        <w:pict w14:anchorId="4A693B16">
          <v:rect id="_x0000_i1031" style="width:0;height:1.5pt" o:hralign="center" o:hrstd="t" o:hr="t" fillcolor="gray" stroked="f"/>
        </w:pict>
      </w:r>
    </w:p>
    <w:p w14:paraId="10750E60" w14:textId="168E399A" w:rsidR="00917B36" w:rsidRPr="00795883" w:rsidRDefault="00917B36" w:rsidP="00C64C17">
      <w:pPr>
        <w:tabs>
          <w:tab w:val="right" w:pos="9360"/>
        </w:tabs>
        <w:rPr>
          <w:rFonts w:cs="Arial"/>
          <w:b/>
          <w:szCs w:val="22"/>
          <w:lang w:val="fr-FR"/>
        </w:rPr>
      </w:pPr>
      <w:r w:rsidRPr="00795883">
        <w:rPr>
          <w:rFonts w:cs="Arial"/>
          <w:b/>
          <w:lang w:val="fr-FR"/>
        </w:rPr>
        <w:t xml:space="preserve">Révision </w:t>
      </w:r>
      <w:r w:rsidR="003364FD" w:rsidRPr="00795883">
        <w:rPr>
          <w:rFonts w:cs="Arial"/>
          <w:b/>
          <w:szCs w:val="22"/>
          <w:lang w:val="fr-FR"/>
        </w:rPr>
        <w:tab/>
      </w:r>
      <w:r w:rsidRPr="00795883">
        <w:rPr>
          <w:rFonts w:cs="Arial"/>
          <w:b/>
          <w:lang w:val="fr-FR"/>
        </w:rPr>
        <w:t>2 minutes</w:t>
      </w:r>
    </w:p>
    <w:p w14:paraId="3D9BE4AC" w14:textId="640F0698" w:rsidR="00D45053" w:rsidRPr="00795883" w:rsidRDefault="00A700BD" w:rsidP="00D45053">
      <w:pPr>
        <w:spacing w:after="120"/>
        <w:ind w:firstLine="720"/>
        <w:rPr>
          <w:rFonts w:cs="Arial"/>
          <w:b/>
          <w:szCs w:val="22"/>
          <w:lang w:val="fr-FR"/>
        </w:rPr>
      </w:pPr>
      <w:r w:rsidRPr="00795883">
        <w:rPr>
          <w:lang w:val="fr-FR" w:eastAsia="en-CA"/>
        </w:rPr>
        <w:drawing>
          <wp:anchor distT="0" distB="0" distL="114300" distR="114300" simplePos="0" relativeHeight="251656192" behindDoc="0" locked="0" layoutInCell="1" allowOverlap="1" wp14:anchorId="5EF0E40F" wp14:editId="5AF8AC87">
            <wp:simplePos x="0" y="0"/>
            <wp:positionH relativeFrom="column">
              <wp:posOffset>0</wp:posOffset>
            </wp:positionH>
            <wp:positionV relativeFrom="paragraph">
              <wp:posOffset>166370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1520C325" w14:textId="344915F2" w:rsidR="00267532" w:rsidRPr="00795883" w:rsidRDefault="00267532" w:rsidP="00267532">
      <w:pPr>
        <w:numPr>
          <w:ilvl w:val="0"/>
          <w:numId w:val="32"/>
        </w:numPr>
        <w:spacing w:after="120"/>
        <w:rPr>
          <w:rFonts w:cs="Arial"/>
          <w:szCs w:val="22"/>
          <w:lang w:val="fr-FR"/>
        </w:rPr>
      </w:pPr>
      <w:r w:rsidRPr="00795883">
        <w:rPr>
          <w:rFonts w:cs="Arial"/>
          <w:lang w:val="fr-FR"/>
        </w:rPr>
        <w:t>Divisez les participants en binômes en mélangeant les groupes. Demandez aux binômes de discuter de la phrase suivante : "Il n'existe pas de chaîne des services de gestion des boues de vidange parfaite".</w:t>
      </w:r>
    </w:p>
    <w:p w14:paraId="25A03A11" w14:textId="77777777" w:rsidR="00917B36" w:rsidRPr="00795883" w:rsidRDefault="00EF2B30" w:rsidP="00917B36">
      <w:pPr>
        <w:rPr>
          <w:rFonts w:cs="Arial"/>
          <w:b/>
          <w:szCs w:val="22"/>
          <w:lang w:val="fr-FR"/>
        </w:rPr>
      </w:pPr>
      <w:r w:rsidRPr="00795883">
        <w:rPr>
          <w:rFonts w:cs="Arial"/>
          <w:b/>
          <w:szCs w:val="22"/>
          <w:lang w:val="fr-FR"/>
        </w:rPr>
        <w:pict w14:anchorId="2C5C6615">
          <v:rect id="_x0000_i1032" style="width:0;height:1.5pt" o:hralign="center" o:hrstd="t" o:hr="t" fillcolor="gray" stroked="f"/>
        </w:pict>
      </w:r>
    </w:p>
    <w:p w14:paraId="0EE0776B" w14:textId="21920B41" w:rsidR="00893CA2" w:rsidRPr="00795883" w:rsidRDefault="00ED5EB9" w:rsidP="00917B36">
      <w:pPr>
        <w:rPr>
          <w:rFonts w:cs="Arial"/>
          <w:b/>
          <w:szCs w:val="22"/>
          <w:lang w:val="fr-FR"/>
        </w:rPr>
      </w:pPr>
      <w:r w:rsidRPr="00795883">
        <w:rPr>
          <w:rFonts w:cs="Arial"/>
          <w:b/>
          <w:lang w:val="fr-FR"/>
        </w:rPr>
        <w:t>Réflexions sur le cours</w:t>
      </w:r>
    </w:p>
    <w:p w14:paraId="3E759CA7" w14:textId="5666FE8E" w:rsidR="00267532" w:rsidRPr="00795883" w:rsidRDefault="00267532">
      <w:pPr>
        <w:rPr>
          <w:rFonts w:cs="Arial"/>
          <w:szCs w:val="22"/>
          <w:lang w:val="fr-FR"/>
        </w:rPr>
      </w:pPr>
    </w:p>
    <w:p w14:paraId="4840834C" w14:textId="6DF9E228" w:rsidR="00267532" w:rsidRPr="00795883" w:rsidRDefault="00267532" w:rsidP="00267532">
      <w:pPr>
        <w:rPr>
          <w:rFonts w:cs="Arial"/>
          <w:szCs w:val="22"/>
          <w:lang w:val="fr-FR"/>
        </w:rPr>
      </w:pPr>
    </w:p>
    <w:p w14:paraId="266619C9" w14:textId="35F7F43C" w:rsidR="00C405F1" w:rsidRPr="00795883" w:rsidRDefault="00267532" w:rsidP="00267532">
      <w:pPr>
        <w:tabs>
          <w:tab w:val="left" w:pos="1470"/>
        </w:tabs>
        <w:rPr>
          <w:rFonts w:cs="Arial"/>
          <w:szCs w:val="22"/>
          <w:lang w:val="fr-FR"/>
        </w:rPr>
      </w:pPr>
      <w:r w:rsidRPr="00795883">
        <w:rPr>
          <w:rFonts w:cs="Arial"/>
          <w:szCs w:val="22"/>
          <w:lang w:val="fr-FR"/>
        </w:rPr>
        <w:tab/>
      </w:r>
    </w:p>
    <w:sectPr w:rsidR="00C405F1" w:rsidRPr="00795883" w:rsidSect="001878DC">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C0A75" w14:textId="77777777" w:rsidR="00EF2B30" w:rsidRDefault="00EF2B30">
      <w:r>
        <w:separator/>
      </w:r>
    </w:p>
  </w:endnote>
  <w:endnote w:type="continuationSeparator" w:id="0">
    <w:p w14:paraId="49644B39" w14:textId="77777777" w:rsidR="00EF2B30" w:rsidRDefault="00EF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Calibr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3714B" w14:textId="00C70E5D" w:rsidR="00AA2E00" w:rsidRPr="008F70E3" w:rsidRDefault="00415B65" w:rsidP="0070579B">
    <w:pPr>
      <w:pStyle w:val="Footer"/>
      <w:tabs>
        <w:tab w:val="center" w:pos="4680"/>
        <w:tab w:val="right" w:pos="9360"/>
      </w:tabs>
      <w:rPr>
        <w:rFonts w:cs="Arial"/>
        <w:szCs w:val="22"/>
        <w:lang w:val="fr-FR"/>
      </w:rPr>
    </w:pPr>
    <w:r>
      <w:rPr>
        <w:noProof/>
        <w:szCs w:val="22"/>
        <w:lang w:val="en-CA" w:eastAsia="en-CA"/>
      </w:rPr>
      <w:drawing>
        <wp:anchor distT="0" distB="0" distL="114300" distR="114300" simplePos="0" relativeHeight="251665408" behindDoc="0" locked="0" layoutInCell="1" allowOverlap="1" wp14:anchorId="79767194" wp14:editId="691F0726">
          <wp:simplePos x="0" y="0"/>
          <wp:positionH relativeFrom="margin">
            <wp:posOffset>1270</wp:posOffset>
          </wp:positionH>
          <wp:positionV relativeFrom="paragraph">
            <wp:posOffset>-300659</wp:posOffset>
          </wp:positionV>
          <wp:extent cx="965200" cy="347822"/>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F55949">
      <w:rPr>
        <w:noProof/>
        <w:lang w:val="en-CA" w:eastAsia="en-CA"/>
      </w:rPr>
      <w:drawing>
        <wp:anchor distT="0" distB="0" distL="114300" distR="114300" simplePos="0" relativeHeight="251663360" behindDoc="0" locked="0" layoutInCell="1" allowOverlap="1" wp14:anchorId="3E535C4A" wp14:editId="75E58BF9">
          <wp:simplePos x="0" y="0"/>
          <wp:positionH relativeFrom="column">
            <wp:posOffset>5015865</wp:posOffset>
          </wp:positionH>
          <wp:positionV relativeFrom="paragraph">
            <wp:posOffset>-278765</wp:posOffset>
          </wp:positionV>
          <wp:extent cx="908050" cy="635635"/>
          <wp:effectExtent l="0" t="0" r="6350" b="0"/>
          <wp:wrapNone/>
          <wp:docPr id="7" name="Picture 7"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0579B">
      <w:rPr>
        <w:rFonts w:cs="Arial"/>
        <w:sz w:val="20"/>
        <w:szCs w:val="20"/>
        <w:lang w:val="fr-FR"/>
      </w:rPr>
      <w:tab/>
    </w:r>
    <w:r w:rsidR="0070579B">
      <w:rPr>
        <w:rFonts w:cs="Arial"/>
        <w:sz w:val="20"/>
        <w:szCs w:val="20"/>
        <w:lang w:val="fr-FR"/>
      </w:rPr>
      <w:fldChar w:fldCharType="begin"/>
    </w:r>
    <w:r w:rsidR="0070579B">
      <w:rPr>
        <w:rFonts w:cs="Arial"/>
        <w:sz w:val="20"/>
        <w:szCs w:val="20"/>
        <w:lang w:val="fr-FR"/>
      </w:rPr>
      <w:instrText xml:space="preserve"> PAGE  \* Arabic  \* MERGEFORMAT </w:instrText>
    </w:r>
    <w:r w:rsidR="0070579B">
      <w:rPr>
        <w:rFonts w:cs="Arial"/>
        <w:sz w:val="20"/>
        <w:szCs w:val="20"/>
        <w:lang w:val="fr-FR"/>
      </w:rPr>
      <w:fldChar w:fldCharType="separate"/>
    </w:r>
    <w:r w:rsidR="00795883">
      <w:rPr>
        <w:rFonts w:cs="Arial"/>
        <w:noProof/>
        <w:sz w:val="20"/>
        <w:szCs w:val="20"/>
        <w:lang w:val="fr-FR"/>
      </w:rPr>
      <w:t>2</w:t>
    </w:r>
    <w:r w:rsidR="0070579B">
      <w:rPr>
        <w:rFonts w:cs="Arial"/>
        <w:sz w:val="20"/>
        <w:szCs w:val="20"/>
        <w:lang w:val="fr-FR"/>
      </w:rPr>
      <w:fldChar w:fldCharType="end"/>
    </w:r>
    <w:r w:rsidR="0070579B">
      <w:rPr>
        <w:rFonts w:cs="Arial"/>
        <w:sz w:val="20"/>
        <w:szCs w:val="20"/>
        <w:lang w:val="fr-FR"/>
      </w:rPr>
      <w:tab/>
    </w:r>
    <w:r w:rsidR="00AA2E00">
      <w:rPr>
        <w:rFonts w:cs="Arial"/>
        <w:sz w:val="20"/>
        <w:szCs w:val="20"/>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A8032" w14:textId="77777777" w:rsidR="00EF2B30" w:rsidRDefault="00EF2B30">
      <w:r>
        <w:separator/>
      </w:r>
    </w:p>
  </w:footnote>
  <w:footnote w:type="continuationSeparator" w:id="0">
    <w:p w14:paraId="68259D80" w14:textId="77777777" w:rsidR="00EF2B30" w:rsidRDefault="00EF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C495B" w14:textId="6907A1AA" w:rsidR="00AA2E00" w:rsidRPr="00917B36" w:rsidRDefault="00471438" w:rsidP="001878DC">
    <w:pPr>
      <w:pStyle w:val="Header"/>
      <w:tabs>
        <w:tab w:val="clear" w:pos="8640"/>
        <w:tab w:val="right" w:pos="9360"/>
      </w:tabs>
      <w:rPr>
        <w:rFonts w:cs="Arial"/>
        <w:szCs w:val="22"/>
        <w:lang w:val="fr-FR"/>
      </w:rPr>
    </w:pPr>
    <w:r>
      <w:rPr>
        <w:rFonts w:cs="Arial"/>
        <w:lang w:val="fr-FR"/>
      </w:rPr>
      <w:t>Introduction à la gestion des boues de vidange</w:t>
    </w:r>
    <w:r w:rsidR="00AA2E00">
      <w:rPr>
        <w:rFonts w:cs="Arial"/>
        <w:szCs w:val="22"/>
        <w:lang w:val="fr-FR"/>
      </w:rPr>
      <w:tab/>
    </w:r>
    <w:r w:rsidR="004A5018">
      <w:rPr>
        <w:rStyle w:val="Heading2Char"/>
        <w:b w:val="0"/>
        <w:sz w:val="22"/>
        <w:lang w:val="fr-FR"/>
      </w:rPr>
      <w:t>Analyse des études de cas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33E"/>
    <w:multiLevelType w:val="hybridMultilevel"/>
    <w:tmpl w:val="7B248446"/>
    <w:lvl w:ilvl="0" w:tplc="37B22E4E">
      <w:start w:val="1"/>
      <w:numFmt w:val="decimal"/>
      <w:lvlText w:val="%1."/>
      <w:lvlJc w:val="left"/>
      <w:pPr>
        <w:tabs>
          <w:tab w:val="num" w:pos="1080"/>
        </w:tabs>
        <w:ind w:left="1080" w:hanging="360"/>
      </w:pPr>
      <w:rPr>
        <w:b w:val="0"/>
        <w:i w:val="0"/>
      </w:rPr>
    </w:lvl>
    <w:lvl w:ilvl="1" w:tplc="10090001">
      <w:start w:val="1"/>
      <w:numFmt w:val="bullet"/>
      <w:lvlText w:val=""/>
      <w:lvlJc w:val="left"/>
      <w:pPr>
        <w:tabs>
          <w:tab w:val="num" w:pos="1800"/>
        </w:tabs>
        <w:ind w:left="1800" w:hanging="360"/>
      </w:pPr>
      <w:rPr>
        <w:rFonts w:ascii="Symbol" w:hAnsi="Symbol" w:hint="default"/>
      </w:r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15:restartNumberingAfterBreak="0">
    <w:nsid w:val="01D87597"/>
    <w:multiLevelType w:val="hybridMultilevel"/>
    <w:tmpl w:val="C23C2DC6"/>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ind w:left="1080" w:hanging="360"/>
      </w:pPr>
      <w:rPr>
        <w:rFonts w:ascii="Symbol" w:hAnsi="Symbol" w:hint="default"/>
      </w:r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1E04B0"/>
    <w:multiLevelType w:val="hybridMultilevel"/>
    <w:tmpl w:val="197AB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576035"/>
    <w:multiLevelType w:val="hybridMultilevel"/>
    <w:tmpl w:val="2DC8A192"/>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0D094EFA"/>
    <w:multiLevelType w:val="hybridMultilevel"/>
    <w:tmpl w:val="49FE13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0D0F19A1"/>
    <w:multiLevelType w:val="hybridMultilevel"/>
    <w:tmpl w:val="F1980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516FFF"/>
    <w:multiLevelType w:val="hybridMultilevel"/>
    <w:tmpl w:val="97202D64"/>
    <w:lvl w:ilvl="0" w:tplc="E7CE813E">
      <w:start w:val="1"/>
      <w:numFmt w:val="decimal"/>
      <w:lvlText w:val="%1."/>
      <w:lvlJc w:val="left"/>
      <w:pPr>
        <w:tabs>
          <w:tab w:val="num" w:pos="1080"/>
        </w:tabs>
        <w:ind w:left="1080" w:hanging="360"/>
      </w:pPr>
      <w:rPr>
        <w:rFonts w:hint="default"/>
      </w:rPr>
    </w:lvl>
    <w:lvl w:ilvl="1" w:tplc="95A09432">
      <w:start w:val="1"/>
      <w:numFmt w:val="bullet"/>
      <w:lvlText w:val=""/>
      <w:lvlJc w:val="left"/>
      <w:pPr>
        <w:tabs>
          <w:tab w:val="num" w:pos="1080"/>
        </w:tabs>
        <w:ind w:left="1296" w:hanging="216"/>
      </w:pPr>
      <w:rPr>
        <w:rFonts w:ascii="Symbol" w:hAnsi="Symbol" w:hint="default"/>
        <w:color w:val="auto"/>
      </w:rPr>
    </w:lvl>
    <w:lvl w:ilvl="2" w:tplc="95A09432">
      <w:start w:val="1"/>
      <w:numFmt w:val="bullet"/>
      <w:lvlText w:val=""/>
      <w:lvlJc w:val="left"/>
      <w:pPr>
        <w:tabs>
          <w:tab w:val="num" w:pos="1980"/>
        </w:tabs>
        <w:ind w:left="2196" w:hanging="216"/>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9055D8"/>
    <w:multiLevelType w:val="hybridMultilevel"/>
    <w:tmpl w:val="4BD0D9B2"/>
    <w:lvl w:ilvl="0" w:tplc="04090001">
      <w:start w:val="1"/>
      <w:numFmt w:val="bullet"/>
      <w:lvlText w:val="□"/>
      <w:lvlJc w:val="left"/>
      <w:pPr>
        <w:ind w:left="1080" w:hanging="360"/>
      </w:pPr>
      <w:rPr>
        <w:rFonts w:ascii="Arial" w:hAnsi="Arial" w:hint="default"/>
        <w:b w:val="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 w15:restartNumberingAfterBreak="0">
    <w:nsid w:val="177223D0"/>
    <w:multiLevelType w:val="hybridMultilevel"/>
    <w:tmpl w:val="97202D64"/>
    <w:lvl w:ilvl="0" w:tplc="E7CE813E">
      <w:start w:val="1"/>
      <w:numFmt w:val="decimal"/>
      <w:lvlText w:val="%1."/>
      <w:lvlJc w:val="left"/>
      <w:pPr>
        <w:tabs>
          <w:tab w:val="num" w:pos="1080"/>
        </w:tabs>
        <w:ind w:left="1080" w:hanging="360"/>
      </w:pPr>
      <w:rPr>
        <w:rFonts w:hint="default"/>
      </w:rPr>
    </w:lvl>
    <w:lvl w:ilvl="1" w:tplc="95A09432">
      <w:start w:val="1"/>
      <w:numFmt w:val="bullet"/>
      <w:lvlText w:val=""/>
      <w:lvlJc w:val="left"/>
      <w:pPr>
        <w:tabs>
          <w:tab w:val="num" w:pos="1080"/>
        </w:tabs>
        <w:ind w:left="1296" w:hanging="216"/>
      </w:pPr>
      <w:rPr>
        <w:rFonts w:ascii="Symbol" w:hAnsi="Symbol" w:hint="default"/>
        <w:color w:val="auto"/>
      </w:rPr>
    </w:lvl>
    <w:lvl w:ilvl="2" w:tplc="95A09432">
      <w:start w:val="1"/>
      <w:numFmt w:val="bullet"/>
      <w:lvlText w:val=""/>
      <w:lvlJc w:val="left"/>
      <w:pPr>
        <w:tabs>
          <w:tab w:val="num" w:pos="1980"/>
        </w:tabs>
        <w:ind w:left="2196" w:hanging="216"/>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1A6562"/>
    <w:multiLevelType w:val="hybridMultilevel"/>
    <w:tmpl w:val="7C60F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20BC0304"/>
    <w:multiLevelType w:val="hybridMultilevel"/>
    <w:tmpl w:val="D5F00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C762E7"/>
    <w:multiLevelType w:val="hybridMultilevel"/>
    <w:tmpl w:val="C0E82018"/>
    <w:lvl w:ilvl="0" w:tplc="A17227B6">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6" w15:restartNumberingAfterBreak="0">
    <w:nsid w:val="298F12D6"/>
    <w:multiLevelType w:val="hybridMultilevel"/>
    <w:tmpl w:val="BFA4A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8" w15:restartNumberingAfterBreak="0">
    <w:nsid w:val="34BC4C51"/>
    <w:multiLevelType w:val="hybridMultilevel"/>
    <w:tmpl w:val="FD846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463BC1"/>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CD0F3D"/>
    <w:multiLevelType w:val="hybridMultilevel"/>
    <w:tmpl w:val="97202D64"/>
    <w:lvl w:ilvl="0" w:tplc="E7CE813E">
      <w:start w:val="1"/>
      <w:numFmt w:val="decimal"/>
      <w:lvlText w:val="%1."/>
      <w:lvlJc w:val="left"/>
      <w:pPr>
        <w:tabs>
          <w:tab w:val="num" w:pos="1080"/>
        </w:tabs>
        <w:ind w:left="1080" w:hanging="360"/>
      </w:pPr>
      <w:rPr>
        <w:rFonts w:hint="default"/>
      </w:rPr>
    </w:lvl>
    <w:lvl w:ilvl="1" w:tplc="95A09432">
      <w:start w:val="1"/>
      <w:numFmt w:val="bullet"/>
      <w:lvlText w:val=""/>
      <w:lvlJc w:val="left"/>
      <w:pPr>
        <w:tabs>
          <w:tab w:val="num" w:pos="1080"/>
        </w:tabs>
        <w:ind w:left="1296" w:hanging="216"/>
      </w:pPr>
      <w:rPr>
        <w:rFonts w:ascii="Symbol" w:hAnsi="Symbol" w:hint="default"/>
        <w:color w:val="auto"/>
      </w:rPr>
    </w:lvl>
    <w:lvl w:ilvl="2" w:tplc="95A09432">
      <w:start w:val="1"/>
      <w:numFmt w:val="bullet"/>
      <w:lvlText w:val=""/>
      <w:lvlJc w:val="left"/>
      <w:pPr>
        <w:tabs>
          <w:tab w:val="num" w:pos="1980"/>
        </w:tabs>
        <w:ind w:left="2196" w:hanging="216"/>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D074D7A"/>
    <w:multiLevelType w:val="hybridMultilevel"/>
    <w:tmpl w:val="22F2EA48"/>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4"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88074A9"/>
    <w:multiLevelType w:val="hybridMultilevel"/>
    <w:tmpl w:val="7238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17904"/>
    <w:multiLevelType w:val="hybridMultilevel"/>
    <w:tmpl w:val="341C93E8"/>
    <w:lvl w:ilvl="0" w:tplc="D90665EA">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7" w15:restartNumberingAfterBreak="0">
    <w:nsid w:val="5AD32BB9"/>
    <w:multiLevelType w:val="hybridMultilevel"/>
    <w:tmpl w:val="44E806C6"/>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10090001">
      <w:start w:val="1"/>
      <w:numFmt w:val="decimal"/>
      <w:lvlText w:val="%4."/>
      <w:lvlJc w:val="left"/>
      <w:pPr>
        <w:tabs>
          <w:tab w:val="num" w:pos="1080"/>
        </w:tabs>
        <w:ind w:left="108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8"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1"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15:restartNumberingAfterBreak="0">
    <w:nsid w:val="746B73EC"/>
    <w:multiLevelType w:val="hybridMultilevel"/>
    <w:tmpl w:val="E946B85E"/>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rPr>
        <w:rFonts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3"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4" w15:restartNumberingAfterBreak="0">
    <w:nsid w:val="78C875FD"/>
    <w:multiLevelType w:val="hybridMultilevel"/>
    <w:tmpl w:val="54D85B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6" w15:restartNumberingAfterBreak="0">
    <w:nsid w:val="7A3B6A0F"/>
    <w:multiLevelType w:val="hybridMultilevel"/>
    <w:tmpl w:val="F96432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D4353F8"/>
    <w:multiLevelType w:val="hybridMultilevel"/>
    <w:tmpl w:val="B81A32DC"/>
    <w:lvl w:ilvl="0" w:tplc="04090001">
      <w:start w:val="1"/>
      <w:numFmt w:val="bullet"/>
      <w:lvlText w:val="□"/>
      <w:lvlJc w:val="left"/>
      <w:pPr>
        <w:tabs>
          <w:tab w:val="num" w:pos="1080"/>
        </w:tabs>
        <w:ind w:left="1080" w:hanging="360"/>
      </w:pPr>
      <w:rPr>
        <w:rFonts w:ascii="Arial" w:hAnsi="Arial" w:hint="default"/>
        <w:b w:val="0"/>
        <w:i w:val="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num w:numId="1">
    <w:abstractNumId w:val="29"/>
  </w:num>
  <w:num w:numId="2">
    <w:abstractNumId w:val="17"/>
  </w:num>
  <w:num w:numId="3">
    <w:abstractNumId w:val="2"/>
  </w:num>
  <w:num w:numId="4">
    <w:abstractNumId w:val="26"/>
  </w:num>
  <w:num w:numId="5">
    <w:abstractNumId w:val="23"/>
  </w:num>
  <w:num w:numId="6">
    <w:abstractNumId w:val="21"/>
  </w:num>
  <w:num w:numId="7">
    <w:abstractNumId w:val="28"/>
  </w:num>
  <w:num w:numId="8">
    <w:abstractNumId w:val="24"/>
  </w:num>
  <w:num w:numId="9">
    <w:abstractNumId w:val="12"/>
  </w:num>
  <w:num w:numId="10">
    <w:abstractNumId w:val="30"/>
  </w:num>
  <w:num w:numId="11">
    <w:abstractNumId w:val="22"/>
  </w:num>
  <w:num w:numId="12">
    <w:abstractNumId w:val="31"/>
  </w:num>
  <w:num w:numId="13">
    <w:abstractNumId w:val="13"/>
  </w:num>
  <w:num w:numId="14">
    <w:abstractNumId w:val="35"/>
  </w:num>
  <w:num w:numId="15">
    <w:abstractNumId w:val="9"/>
  </w:num>
  <w:num w:numId="16">
    <w:abstractNumId w:val="33"/>
  </w:num>
  <w:num w:numId="17">
    <w:abstractNumId w:val="19"/>
  </w:num>
  <w:num w:numId="18">
    <w:abstractNumId w:val="37"/>
  </w:num>
  <w:num w:numId="19">
    <w:abstractNumId w:val="8"/>
  </w:num>
  <w:num w:numId="20">
    <w:abstractNumId w:val="15"/>
  </w:num>
  <w:num w:numId="21">
    <w:abstractNumId w:val="10"/>
  </w:num>
  <w:num w:numId="22">
    <w:abstractNumId w:val="32"/>
  </w:num>
  <w:num w:numId="23">
    <w:abstractNumId w:val="1"/>
  </w:num>
  <w:num w:numId="24">
    <w:abstractNumId w:val="27"/>
  </w:num>
  <w:num w:numId="25">
    <w:abstractNumId w:val="5"/>
  </w:num>
  <w:num w:numId="26">
    <w:abstractNumId w:val="4"/>
  </w:num>
  <w:num w:numId="27">
    <w:abstractNumId w:val="34"/>
  </w:num>
  <w:num w:numId="28">
    <w:abstractNumId w:val="18"/>
  </w:num>
  <w:num w:numId="29">
    <w:abstractNumId w:val="6"/>
  </w:num>
  <w:num w:numId="30">
    <w:abstractNumId w:val="16"/>
  </w:num>
  <w:num w:numId="31">
    <w:abstractNumId w:val="14"/>
  </w:num>
  <w:num w:numId="32">
    <w:abstractNumId w:val="0"/>
  </w:num>
  <w:num w:numId="33">
    <w:abstractNumId w:val="7"/>
  </w:num>
  <w:num w:numId="34">
    <w:abstractNumId w:val="20"/>
  </w:num>
  <w:num w:numId="35">
    <w:abstractNumId w:val="36"/>
  </w:num>
  <w:num w:numId="36">
    <w:abstractNumId w:val="25"/>
  </w:num>
  <w:num w:numId="37">
    <w:abstractNumId w:val="3"/>
  </w:num>
  <w:num w:numId="3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8B"/>
    <w:rsid w:val="00003E18"/>
    <w:rsid w:val="00004BB3"/>
    <w:rsid w:val="00011DE7"/>
    <w:rsid w:val="000178C0"/>
    <w:rsid w:val="00023A86"/>
    <w:rsid w:val="00037379"/>
    <w:rsid w:val="00047859"/>
    <w:rsid w:val="00055B12"/>
    <w:rsid w:val="00060B33"/>
    <w:rsid w:val="00086CEA"/>
    <w:rsid w:val="000B0C06"/>
    <w:rsid w:val="000D77D5"/>
    <w:rsid w:val="00101951"/>
    <w:rsid w:val="001227DC"/>
    <w:rsid w:val="0013687C"/>
    <w:rsid w:val="00166699"/>
    <w:rsid w:val="001811E2"/>
    <w:rsid w:val="00183320"/>
    <w:rsid w:val="00186763"/>
    <w:rsid w:val="001878DC"/>
    <w:rsid w:val="001B4248"/>
    <w:rsid w:val="001C55DD"/>
    <w:rsid w:val="001D4558"/>
    <w:rsid w:val="001D7E80"/>
    <w:rsid w:val="001E6F9F"/>
    <w:rsid w:val="001E7BB5"/>
    <w:rsid w:val="001F1BCE"/>
    <w:rsid w:val="001F6375"/>
    <w:rsid w:val="00202567"/>
    <w:rsid w:val="00221E2E"/>
    <w:rsid w:val="00226B46"/>
    <w:rsid w:val="00251FDF"/>
    <w:rsid w:val="00257417"/>
    <w:rsid w:val="00267532"/>
    <w:rsid w:val="00284A93"/>
    <w:rsid w:val="002918DF"/>
    <w:rsid w:val="0029763A"/>
    <w:rsid w:val="002B2924"/>
    <w:rsid w:val="002C1339"/>
    <w:rsid w:val="002C5CE9"/>
    <w:rsid w:val="002E32A5"/>
    <w:rsid w:val="002E669A"/>
    <w:rsid w:val="002F0431"/>
    <w:rsid w:val="003052AB"/>
    <w:rsid w:val="003067EE"/>
    <w:rsid w:val="00315EB3"/>
    <w:rsid w:val="00320C9A"/>
    <w:rsid w:val="00321950"/>
    <w:rsid w:val="00323EFC"/>
    <w:rsid w:val="00324334"/>
    <w:rsid w:val="00324557"/>
    <w:rsid w:val="003257C8"/>
    <w:rsid w:val="003364FD"/>
    <w:rsid w:val="00340AE7"/>
    <w:rsid w:val="00354173"/>
    <w:rsid w:val="00371EA0"/>
    <w:rsid w:val="00376D03"/>
    <w:rsid w:val="003845D2"/>
    <w:rsid w:val="003904A3"/>
    <w:rsid w:val="00390B0D"/>
    <w:rsid w:val="003948B8"/>
    <w:rsid w:val="003A105E"/>
    <w:rsid w:val="003A2FBC"/>
    <w:rsid w:val="003A3F3C"/>
    <w:rsid w:val="003A45B7"/>
    <w:rsid w:val="003A71AC"/>
    <w:rsid w:val="003B1E75"/>
    <w:rsid w:val="003D3431"/>
    <w:rsid w:val="003E43B2"/>
    <w:rsid w:val="003E7E35"/>
    <w:rsid w:val="00406886"/>
    <w:rsid w:val="00406AAC"/>
    <w:rsid w:val="00407BE5"/>
    <w:rsid w:val="00411364"/>
    <w:rsid w:val="00415B65"/>
    <w:rsid w:val="00421D5F"/>
    <w:rsid w:val="00426590"/>
    <w:rsid w:val="00440E74"/>
    <w:rsid w:val="00461A43"/>
    <w:rsid w:val="00471438"/>
    <w:rsid w:val="004903DB"/>
    <w:rsid w:val="00490703"/>
    <w:rsid w:val="004A5018"/>
    <w:rsid w:val="004A5069"/>
    <w:rsid w:val="004B528D"/>
    <w:rsid w:val="004E4483"/>
    <w:rsid w:val="004E6913"/>
    <w:rsid w:val="004E6998"/>
    <w:rsid w:val="00503D13"/>
    <w:rsid w:val="0051527D"/>
    <w:rsid w:val="00526331"/>
    <w:rsid w:val="00532A92"/>
    <w:rsid w:val="00545F0D"/>
    <w:rsid w:val="005475B0"/>
    <w:rsid w:val="00554806"/>
    <w:rsid w:val="00557EE0"/>
    <w:rsid w:val="00565946"/>
    <w:rsid w:val="0056605A"/>
    <w:rsid w:val="005756BE"/>
    <w:rsid w:val="00580182"/>
    <w:rsid w:val="0058341B"/>
    <w:rsid w:val="005C4561"/>
    <w:rsid w:val="005D6CFD"/>
    <w:rsid w:val="005F42F6"/>
    <w:rsid w:val="00612625"/>
    <w:rsid w:val="00615C71"/>
    <w:rsid w:val="006237BC"/>
    <w:rsid w:val="00627829"/>
    <w:rsid w:val="00656C5B"/>
    <w:rsid w:val="00663790"/>
    <w:rsid w:val="00670063"/>
    <w:rsid w:val="00673C95"/>
    <w:rsid w:val="00673F12"/>
    <w:rsid w:val="0068043A"/>
    <w:rsid w:val="006A07D5"/>
    <w:rsid w:val="006A1A3A"/>
    <w:rsid w:val="006A2DD2"/>
    <w:rsid w:val="006C6EDD"/>
    <w:rsid w:val="006D21BE"/>
    <w:rsid w:val="006E78FF"/>
    <w:rsid w:val="006F6232"/>
    <w:rsid w:val="0070579B"/>
    <w:rsid w:val="00707A77"/>
    <w:rsid w:val="00717E0F"/>
    <w:rsid w:val="007500D6"/>
    <w:rsid w:val="00773800"/>
    <w:rsid w:val="00795883"/>
    <w:rsid w:val="007A454E"/>
    <w:rsid w:val="007B1CA8"/>
    <w:rsid w:val="007C74C6"/>
    <w:rsid w:val="007C75A6"/>
    <w:rsid w:val="007D0C4B"/>
    <w:rsid w:val="007F6804"/>
    <w:rsid w:val="008405AB"/>
    <w:rsid w:val="00852AC4"/>
    <w:rsid w:val="0085700A"/>
    <w:rsid w:val="008621B3"/>
    <w:rsid w:val="0086294A"/>
    <w:rsid w:val="008713B6"/>
    <w:rsid w:val="00871CD7"/>
    <w:rsid w:val="0089000B"/>
    <w:rsid w:val="00893CA2"/>
    <w:rsid w:val="00896C0B"/>
    <w:rsid w:val="008A7FC9"/>
    <w:rsid w:val="008B0478"/>
    <w:rsid w:val="008D7430"/>
    <w:rsid w:val="008F25B0"/>
    <w:rsid w:val="008F435E"/>
    <w:rsid w:val="00906C86"/>
    <w:rsid w:val="009073B6"/>
    <w:rsid w:val="00907B67"/>
    <w:rsid w:val="0091214E"/>
    <w:rsid w:val="00914033"/>
    <w:rsid w:val="00917B36"/>
    <w:rsid w:val="009202A2"/>
    <w:rsid w:val="00923707"/>
    <w:rsid w:val="00930853"/>
    <w:rsid w:val="00952DDC"/>
    <w:rsid w:val="00974CD2"/>
    <w:rsid w:val="0097533E"/>
    <w:rsid w:val="00977F11"/>
    <w:rsid w:val="009A2E50"/>
    <w:rsid w:val="009B2BD9"/>
    <w:rsid w:val="009C032D"/>
    <w:rsid w:val="009C17B0"/>
    <w:rsid w:val="009C4E45"/>
    <w:rsid w:val="009C5A99"/>
    <w:rsid w:val="009C65D6"/>
    <w:rsid w:val="009D49E1"/>
    <w:rsid w:val="009D76A8"/>
    <w:rsid w:val="009E2AED"/>
    <w:rsid w:val="009E5B08"/>
    <w:rsid w:val="009F23B7"/>
    <w:rsid w:val="00A0446D"/>
    <w:rsid w:val="00A047E3"/>
    <w:rsid w:val="00A0792E"/>
    <w:rsid w:val="00A14411"/>
    <w:rsid w:val="00A24A9C"/>
    <w:rsid w:val="00A26CB4"/>
    <w:rsid w:val="00A40B97"/>
    <w:rsid w:val="00A57EF0"/>
    <w:rsid w:val="00A700BD"/>
    <w:rsid w:val="00A70F27"/>
    <w:rsid w:val="00A7262D"/>
    <w:rsid w:val="00A73F03"/>
    <w:rsid w:val="00A76A35"/>
    <w:rsid w:val="00A80853"/>
    <w:rsid w:val="00A92CC9"/>
    <w:rsid w:val="00AA2E00"/>
    <w:rsid w:val="00AA7019"/>
    <w:rsid w:val="00AB2551"/>
    <w:rsid w:val="00AB67FF"/>
    <w:rsid w:val="00AB78B0"/>
    <w:rsid w:val="00AC5C7C"/>
    <w:rsid w:val="00B10CB2"/>
    <w:rsid w:val="00B210A8"/>
    <w:rsid w:val="00B33AF4"/>
    <w:rsid w:val="00B34195"/>
    <w:rsid w:val="00B344A0"/>
    <w:rsid w:val="00B34534"/>
    <w:rsid w:val="00B431F2"/>
    <w:rsid w:val="00B60932"/>
    <w:rsid w:val="00B64C89"/>
    <w:rsid w:val="00B67B80"/>
    <w:rsid w:val="00B92A77"/>
    <w:rsid w:val="00B97AC4"/>
    <w:rsid w:val="00BA1AFA"/>
    <w:rsid w:val="00BD088B"/>
    <w:rsid w:val="00BD7FCF"/>
    <w:rsid w:val="00BF721C"/>
    <w:rsid w:val="00C018FE"/>
    <w:rsid w:val="00C24A2D"/>
    <w:rsid w:val="00C2601A"/>
    <w:rsid w:val="00C3626E"/>
    <w:rsid w:val="00C405F1"/>
    <w:rsid w:val="00C464FC"/>
    <w:rsid w:val="00C64C17"/>
    <w:rsid w:val="00C72F1C"/>
    <w:rsid w:val="00C7739D"/>
    <w:rsid w:val="00C80A23"/>
    <w:rsid w:val="00C84F44"/>
    <w:rsid w:val="00CC3B04"/>
    <w:rsid w:val="00CC5973"/>
    <w:rsid w:val="00CD736E"/>
    <w:rsid w:val="00CD7373"/>
    <w:rsid w:val="00CF2280"/>
    <w:rsid w:val="00CF5828"/>
    <w:rsid w:val="00D017C3"/>
    <w:rsid w:val="00D218BE"/>
    <w:rsid w:val="00D24CFB"/>
    <w:rsid w:val="00D30955"/>
    <w:rsid w:val="00D45053"/>
    <w:rsid w:val="00D45C8F"/>
    <w:rsid w:val="00D50527"/>
    <w:rsid w:val="00D61E19"/>
    <w:rsid w:val="00D64D84"/>
    <w:rsid w:val="00DA178B"/>
    <w:rsid w:val="00DC4555"/>
    <w:rsid w:val="00DC721B"/>
    <w:rsid w:val="00DE5DA6"/>
    <w:rsid w:val="00DF0133"/>
    <w:rsid w:val="00E12B3A"/>
    <w:rsid w:val="00E13980"/>
    <w:rsid w:val="00E14AA1"/>
    <w:rsid w:val="00E15788"/>
    <w:rsid w:val="00E246D6"/>
    <w:rsid w:val="00E24FAA"/>
    <w:rsid w:val="00E31238"/>
    <w:rsid w:val="00E67A2C"/>
    <w:rsid w:val="00E7400D"/>
    <w:rsid w:val="00E91CDC"/>
    <w:rsid w:val="00EA01EB"/>
    <w:rsid w:val="00EA7541"/>
    <w:rsid w:val="00EB39B4"/>
    <w:rsid w:val="00EC62A5"/>
    <w:rsid w:val="00ED5EB9"/>
    <w:rsid w:val="00ED7C89"/>
    <w:rsid w:val="00EE137F"/>
    <w:rsid w:val="00EE27BD"/>
    <w:rsid w:val="00EE6A3C"/>
    <w:rsid w:val="00EF2B30"/>
    <w:rsid w:val="00F049CA"/>
    <w:rsid w:val="00F05552"/>
    <w:rsid w:val="00F10375"/>
    <w:rsid w:val="00F107A6"/>
    <w:rsid w:val="00F1562B"/>
    <w:rsid w:val="00F22884"/>
    <w:rsid w:val="00F2665F"/>
    <w:rsid w:val="00F31A8A"/>
    <w:rsid w:val="00F52188"/>
    <w:rsid w:val="00F55949"/>
    <w:rsid w:val="00F71F3B"/>
    <w:rsid w:val="00F86762"/>
    <w:rsid w:val="00FB2C4B"/>
    <w:rsid w:val="00FC6F7E"/>
    <w:rsid w:val="00FD1C66"/>
    <w:rsid w:val="00FE3A93"/>
    <w:rsid w:val="00FF4729"/>
    <w:rsid w:val="00FF681A"/>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355FE1"/>
  <w15:docId w15:val="{C43F6855-600D-41F2-9700-F2C17413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917B36"/>
    <w:rPr>
      <w:sz w:val="16"/>
      <w:szCs w:val="16"/>
    </w:rPr>
  </w:style>
  <w:style w:type="paragraph" w:styleId="CommentText">
    <w:name w:val="annotation text"/>
    <w:basedOn w:val="Normal"/>
    <w:link w:val="CommentTextChar"/>
    <w:uiPriority w:val="99"/>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character" w:customStyle="1" w:styleId="CommentTextChar">
    <w:name w:val="Comment Text Char"/>
    <w:basedOn w:val="DefaultParagraphFont"/>
    <w:link w:val="CommentText"/>
    <w:uiPriority w:val="99"/>
    <w:semiHidden/>
    <w:rsid w:val="00BD088B"/>
    <w:rPr>
      <w:rFonts w:ascii="Arial" w:hAnsi="Arial"/>
    </w:rPr>
  </w:style>
  <w:style w:type="paragraph" w:styleId="ListParagraph">
    <w:name w:val="List Paragraph"/>
    <w:basedOn w:val="Normal"/>
    <w:uiPriority w:val="34"/>
    <w:qFormat/>
    <w:rsid w:val="006F6232"/>
    <w:pPr>
      <w:ind w:left="720"/>
      <w:contextualSpacing/>
    </w:pPr>
  </w:style>
  <w:style w:type="paragraph" w:styleId="Revision">
    <w:name w:val="Revision"/>
    <w:hidden/>
    <w:uiPriority w:val="99"/>
    <w:semiHidden/>
    <w:rsid w:val="00A76A3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66E99-2DD5-4B62-9470-0954FC66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FSM_LP 18_Case Study Review</dc:title>
  <dc:creator>CAWST;Eawag-Sandec</dc:creator>
  <cp:lastModifiedBy>Andrea Roach</cp:lastModifiedBy>
  <cp:revision>7</cp:revision>
  <cp:lastPrinted>2015-04-23T09:05:00Z</cp:lastPrinted>
  <dcterms:created xsi:type="dcterms:W3CDTF">2016-07-20T19:00:00Z</dcterms:created>
  <dcterms:modified xsi:type="dcterms:W3CDTF">2017-05-08T02:59:00Z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