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D7614" w14:textId="012E3F28" w:rsidR="00EB0679" w:rsidRPr="00EB0679" w:rsidRDefault="00C35755" w:rsidP="00EB0679">
      <w:pPr>
        <w:pStyle w:val="Title"/>
      </w:pPr>
      <w:bookmarkStart w:id="0" w:name="_Toc471803726"/>
      <w:r>
        <w:rPr>
          <w:noProof/>
          <w:lang w:val="en-CA"/>
        </w:rPr>
        <w:t>Katadyn Drip Filter</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89"/>
        <w:gridCol w:w="1789"/>
        <w:gridCol w:w="1789"/>
        <w:gridCol w:w="1789"/>
        <w:gridCol w:w="1789"/>
        <w:gridCol w:w="1790"/>
      </w:tblGrid>
      <w:tr w:rsidR="00122376" w:rsidRPr="004C3429" w14:paraId="0C3C9586" w14:textId="77777777" w:rsidTr="00F27918">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307A247" w14:textId="77777777" w:rsidR="00345C5E" w:rsidRPr="0053705C" w:rsidRDefault="00345C5E" w:rsidP="0053705C">
            <w:pPr>
              <w:pStyle w:val="MBATableText"/>
            </w:pPr>
            <w:r w:rsidRPr="0053705C">
              <w:t>Source Protection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6E947E5" w14:textId="77777777" w:rsidR="00345C5E" w:rsidRPr="0053705C" w:rsidRDefault="00345C5E" w:rsidP="0053705C">
            <w:pPr>
              <w:pStyle w:val="MBATableText"/>
            </w:pPr>
            <w:r w:rsidRPr="0053705C">
              <w:t>Safe Transportation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E780EAE" w14:textId="77777777" w:rsidR="00345C5E" w:rsidRPr="0053705C" w:rsidRDefault="00345C5E" w:rsidP="0053705C">
            <w:pPr>
              <w:pStyle w:val="MBATableText"/>
            </w:pPr>
            <w:r w:rsidRPr="0053705C">
              <w:t>Sedimentation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0ED81809" w14:textId="77777777" w:rsidR="00345C5E" w:rsidRPr="0053705C" w:rsidRDefault="00345C5E" w:rsidP="0053705C">
            <w:pPr>
              <w:pStyle w:val="MBATableText-Selected"/>
            </w:pPr>
            <w:r w:rsidRPr="0053705C">
              <w:t>Filtration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31EB743" w14:textId="77777777" w:rsidR="00345C5E" w:rsidRPr="0053705C" w:rsidRDefault="00345C5E" w:rsidP="0053705C">
            <w:pPr>
              <w:pStyle w:val="MBATableText"/>
            </w:pPr>
            <w:r w:rsidRPr="0053705C">
              <w:t>Disinfection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8D8D8" w:themeFill="text1" w:themeFillTint="33"/>
            <w:vAlign w:val="center"/>
          </w:tcPr>
          <w:p w14:paraId="1C693C57" w14:textId="77777777" w:rsidR="00345C5E" w:rsidRPr="00F27918" w:rsidRDefault="00345C5E" w:rsidP="00B92400">
            <w:pPr>
              <w:pStyle w:val="MBATableText-Selected"/>
            </w:pPr>
            <w:r w:rsidRPr="00F27918">
              <w:t>Safe Storage</w:t>
            </w:r>
          </w:p>
        </w:tc>
      </w:tr>
    </w:tbl>
    <w:bookmarkEnd w:id="0"/>
    <w:p w14:paraId="0B40E6D6" w14:textId="64862FD4" w:rsidR="00510EBB" w:rsidRPr="004C3429" w:rsidRDefault="00B9649E" w:rsidP="00A45B29">
      <w:pPr>
        <w:pStyle w:val="Heading1"/>
        <w:rPr>
          <w:noProof/>
        </w:rPr>
      </w:pPr>
      <w:r w:rsidRPr="00A45B29">
        <w:t>What</w:t>
      </w:r>
      <w:r w:rsidRPr="004C3429">
        <w:rPr>
          <w:noProof/>
        </w:rPr>
        <w:t xml:space="preserve"> is it?</w:t>
      </w:r>
    </w:p>
    <w:p w14:paraId="53E45936" w14:textId="0AE5C3FE" w:rsidR="00D338CE" w:rsidRPr="004C3429" w:rsidRDefault="00B92400" w:rsidP="00121E61">
      <w:pPr>
        <w:rPr>
          <w:noProof/>
        </w:rPr>
      </w:pPr>
      <w:r>
        <w:rPr>
          <w:noProof/>
          <w:lang w:eastAsia="en-CA"/>
        </w:rPr>
        <w:drawing>
          <wp:anchor distT="0" distB="0" distL="114300" distR="114300" simplePos="0" relativeHeight="251681280" behindDoc="0" locked="0" layoutInCell="1" allowOverlap="1" wp14:anchorId="272DDE42" wp14:editId="6D56DB1B">
            <wp:simplePos x="0" y="0"/>
            <wp:positionH relativeFrom="column">
              <wp:posOffset>5367655</wp:posOffset>
            </wp:positionH>
            <wp:positionV relativeFrom="page">
              <wp:posOffset>2296514</wp:posOffset>
            </wp:positionV>
            <wp:extent cx="1392555" cy="17437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edia/EPD Media/1 - Images/Object/HWT/BSF_cutou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2497" r="17026"/>
                    <a:stretch/>
                  </pic:blipFill>
                  <pic:spPr bwMode="auto">
                    <a:xfrm>
                      <a:off x="0" y="0"/>
                      <a:ext cx="1392555" cy="1743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5DA" w:rsidRPr="00D165DA">
        <w:rPr>
          <w:noProof/>
        </w:rPr>
        <w:t>The tabletop filter</w:t>
      </w:r>
      <w:r w:rsidR="00D165DA">
        <w:rPr>
          <w:noProof/>
        </w:rPr>
        <w:t xml:space="preserve"> is</w:t>
      </w:r>
      <w:r w:rsidR="00D165DA" w:rsidRPr="00D165DA">
        <w:rPr>
          <w:noProof/>
        </w:rPr>
        <w:t xml:space="preserve"> </w:t>
      </w:r>
      <w:r w:rsidR="00C35755" w:rsidRPr="00C35755">
        <w:rPr>
          <w:noProof/>
        </w:rPr>
        <w:t>produced by the Swiss company Katadyn. The filter setup consists of three ceramic filter elements, two 10</w:t>
      </w:r>
      <w:r w:rsidR="00B44CB9">
        <w:rPr>
          <w:noProof/>
        </w:rPr>
        <w:t xml:space="preserve"> </w:t>
      </w:r>
      <w:r w:rsidR="00C35755" w:rsidRPr="00C35755">
        <w:rPr>
          <w:noProof/>
        </w:rPr>
        <w:t>L containers, a tap for dispensing water, a cleaning pad, a measuring gauge, emergency plugs, and the nece</w:t>
      </w:r>
      <w:r w:rsidR="00C35755">
        <w:rPr>
          <w:noProof/>
        </w:rPr>
        <w:t>ssary hardware for installation</w:t>
      </w:r>
      <w:r w:rsidR="00D165DA" w:rsidRPr="00D165DA">
        <w:rPr>
          <w:noProof/>
        </w:rPr>
        <w:t>.</w:t>
      </w:r>
      <w:r w:rsidR="00C35755">
        <w:rPr>
          <w:noProof/>
        </w:rPr>
        <w:t xml:space="preserve"> Two types of ceramic filter elements are available: one has silver-coated pebbles inside (to prevent microbial growth), and one has activated carbon inside (to remove chemicals).</w:t>
      </w:r>
    </w:p>
    <w:p w14:paraId="7A3F52AB" w14:textId="77777777" w:rsidR="00AA1CCE" w:rsidRPr="004C3429" w:rsidRDefault="00FC0B37" w:rsidP="00B9649E">
      <w:pPr>
        <w:pStyle w:val="Heading1"/>
        <w:rPr>
          <w:noProof/>
        </w:rPr>
      </w:pPr>
      <w:r w:rsidRPr="004C3429">
        <w:rPr>
          <w:noProof/>
        </w:rPr>
        <w:t>Performance</w:t>
      </w:r>
    </w:p>
    <w:p w14:paraId="6A535318" w14:textId="77777777" w:rsidR="004D674B" w:rsidRPr="004C3429" w:rsidRDefault="004D674B" w:rsidP="00AB2D37">
      <w:pPr>
        <w:pStyle w:val="Heading2"/>
        <w:rPr>
          <w:noProof/>
        </w:rPr>
      </w:pPr>
      <w:r w:rsidRPr="004C3429">
        <w:rPr>
          <w:noProof/>
        </w:rPr>
        <w:t>Microbiological Effectiveness:</w:t>
      </w:r>
    </w:p>
    <w:tbl>
      <w:tblPr>
        <w:tblStyle w:val="PlainTable3"/>
        <w:tblW w:w="7797" w:type="dxa"/>
        <w:tblLook w:val="0420" w:firstRow="1" w:lastRow="0" w:firstColumn="0" w:lastColumn="0" w:noHBand="0" w:noVBand="1"/>
      </w:tblPr>
      <w:tblGrid>
        <w:gridCol w:w="4102"/>
        <w:gridCol w:w="3695"/>
      </w:tblGrid>
      <w:tr w:rsidR="00EB0679" w:rsidRPr="004C3429" w14:paraId="0B257242" w14:textId="77777777" w:rsidTr="00D165DA">
        <w:trPr>
          <w:cnfStyle w:val="100000000000" w:firstRow="1" w:lastRow="0" w:firstColumn="0" w:lastColumn="0" w:oddVBand="0" w:evenVBand="0" w:oddHBand="0" w:evenHBand="0" w:firstRowFirstColumn="0" w:firstRowLastColumn="0" w:lastRowFirstColumn="0" w:lastRowLastColumn="0"/>
          <w:trHeight w:val="263"/>
        </w:trPr>
        <w:tc>
          <w:tcPr>
            <w:tcW w:w="0" w:type="auto"/>
          </w:tcPr>
          <w:p w14:paraId="19A7ABFE" w14:textId="77777777" w:rsidR="004D674B" w:rsidRPr="00163EEA" w:rsidRDefault="004D674B" w:rsidP="00163EEA">
            <w:pPr>
              <w:pStyle w:val="NoSpacing"/>
              <w:rPr>
                <w:sz w:val="20"/>
              </w:rPr>
            </w:pPr>
            <w:r w:rsidRPr="00163EEA">
              <w:rPr>
                <w:sz w:val="20"/>
              </w:rPr>
              <w:t>Parameter</w:t>
            </w:r>
          </w:p>
        </w:tc>
        <w:tc>
          <w:tcPr>
            <w:tcW w:w="3695" w:type="dxa"/>
          </w:tcPr>
          <w:p w14:paraId="507DF4CE" w14:textId="77777777" w:rsidR="004D674B" w:rsidRPr="00163EEA" w:rsidRDefault="004D674B" w:rsidP="00163EEA">
            <w:pPr>
              <w:pStyle w:val="NoSpacing"/>
              <w:rPr>
                <w:sz w:val="20"/>
              </w:rPr>
            </w:pPr>
            <w:r w:rsidRPr="00163EEA">
              <w:rPr>
                <w:sz w:val="20"/>
              </w:rPr>
              <w:t>Effectiveness</w:t>
            </w:r>
          </w:p>
        </w:tc>
      </w:tr>
      <w:tr w:rsidR="00EB0679" w:rsidRPr="004C3429" w14:paraId="72C06D5F" w14:textId="77777777" w:rsidTr="00D165DA">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369D0546" w14:textId="77777777" w:rsidR="004D674B" w:rsidRPr="00163EEA" w:rsidRDefault="004D674B" w:rsidP="00163EEA">
            <w:pPr>
              <w:pStyle w:val="NoSpacing"/>
              <w:rPr>
                <w:sz w:val="20"/>
              </w:rPr>
            </w:pPr>
            <w:r w:rsidRPr="00163EEA">
              <w:rPr>
                <w:sz w:val="20"/>
              </w:rPr>
              <w:t>Bacteria</w:t>
            </w:r>
          </w:p>
        </w:tc>
        <w:tc>
          <w:tcPr>
            <w:tcW w:w="3695" w:type="dxa"/>
          </w:tcPr>
          <w:p w14:paraId="40E02A38" w14:textId="76E02AD9" w:rsidR="004D674B" w:rsidRPr="00163EEA" w:rsidRDefault="00F27918" w:rsidP="00163EEA">
            <w:pPr>
              <w:pStyle w:val="NoSpacing"/>
              <w:rPr>
                <w:sz w:val="20"/>
              </w:rPr>
            </w:pPr>
            <w:r>
              <w:rPr>
                <w:sz w:val="20"/>
              </w:rPr>
              <w:t>Very Effective (&gt;99</w:t>
            </w:r>
            <w:r w:rsidR="004D674B" w:rsidRPr="00163EEA">
              <w:rPr>
                <w:sz w:val="20"/>
              </w:rPr>
              <w:t>%)</w:t>
            </w:r>
          </w:p>
        </w:tc>
      </w:tr>
      <w:tr w:rsidR="00EB0679" w:rsidRPr="004C3429" w14:paraId="1701B17F" w14:textId="77777777" w:rsidTr="00D165DA">
        <w:trPr>
          <w:trHeight w:val="263"/>
        </w:trPr>
        <w:tc>
          <w:tcPr>
            <w:tcW w:w="0" w:type="auto"/>
          </w:tcPr>
          <w:p w14:paraId="5B30DD35" w14:textId="77777777" w:rsidR="004D674B" w:rsidRPr="00163EEA" w:rsidRDefault="004D674B" w:rsidP="00163EEA">
            <w:pPr>
              <w:pStyle w:val="NoSpacing"/>
              <w:rPr>
                <w:sz w:val="20"/>
              </w:rPr>
            </w:pPr>
            <w:r w:rsidRPr="00163EEA">
              <w:rPr>
                <w:sz w:val="20"/>
              </w:rPr>
              <w:t>Viruses</w:t>
            </w:r>
          </w:p>
        </w:tc>
        <w:tc>
          <w:tcPr>
            <w:tcW w:w="3695" w:type="dxa"/>
          </w:tcPr>
          <w:p w14:paraId="7CA3124B" w14:textId="0391B674" w:rsidR="004D674B" w:rsidRPr="00163EEA" w:rsidRDefault="00F27918" w:rsidP="00163EEA">
            <w:pPr>
              <w:pStyle w:val="NoSpacing"/>
              <w:rPr>
                <w:sz w:val="20"/>
              </w:rPr>
            </w:pPr>
            <w:r>
              <w:rPr>
                <w:sz w:val="20"/>
              </w:rPr>
              <w:t>No independent tests</w:t>
            </w:r>
          </w:p>
        </w:tc>
      </w:tr>
      <w:tr w:rsidR="00EB0679" w:rsidRPr="004C3429" w14:paraId="0B060138" w14:textId="77777777" w:rsidTr="00D165DA">
        <w:trPr>
          <w:cnfStyle w:val="000000100000" w:firstRow="0" w:lastRow="0" w:firstColumn="0" w:lastColumn="0" w:oddVBand="0" w:evenVBand="0" w:oddHBand="1" w:evenHBand="0" w:firstRowFirstColumn="0" w:firstRowLastColumn="0" w:lastRowFirstColumn="0" w:lastRowLastColumn="0"/>
          <w:trHeight w:val="263"/>
        </w:trPr>
        <w:tc>
          <w:tcPr>
            <w:tcW w:w="0" w:type="auto"/>
          </w:tcPr>
          <w:p w14:paraId="37031E7E" w14:textId="1D017CAE" w:rsidR="004D674B" w:rsidRPr="00163EEA" w:rsidRDefault="00D165DA" w:rsidP="00163EEA">
            <w:pPr>
              <w:pStyle w:val="NoSpacing"/>
              <w:rPr>
                <w:sz w:val="20"/>
              </w:rPr>
            </w:pPr>
            <w:r>
              <w:rPr>
                <w:sz w:val="20"/>
              </w:rPr>
              <w:t>Protozoa</w:t>
            </w:r>
          </w:p>
        </w:tc>
        <w:tc>
          <w:tcPr>
            <w:tcW w:w="3695" w:type="dxa"/>
          </w:tcPr>
          <w:p w14:paraId="0DB59AF2" w14:textId="54638652" w:rsidR="004D674B" w:rsidRPr="00163EEA" w:rsidRDefault="004D674B" w:rsidP="00D165DA">
            <w:pPr>
              <w:pStyle w:val="NoSpacing"/>
              <w:rPr>
                <w:sz w:val="20"/>
              </w:rPr>
            </w:pPr>
            <w:r w:rsidRPr="00163EEA">
              <w:rPr>
                <w:sz w:val="20"/>
              </w:rPr>
              <w:t>Very Effective</w:t>
            </w:r>
            <w:r w:rsidR="00D165DA">
              <w:rPr>
                <w:sz w:val="20"/>
              </w:rPr>
              <w:t xml:space="preserve"> (&gt;99%)</w:t>
            </w:r>
          </w:p>
        </w:tc>
      </w:tr>
      <w:tr w:rsidR="00EB0679" w:rsidRPr="004C3429" w14:paraId="16922F24" w14:textId="77777777" w:rsidTr="00D165DA">
        <w:trPr>
          <w:trHeight w:val="250"/>
        </w:trPr>
        <w:tc>
          <w:tcPr>
            <w:tcW w:w="0" w:type="auto"/>
          </w:tcPr>
          <w:p w14:paraId="7B5AAB10" w14:textId="38497144" w:rsidR="00F33DDE" w:rsidRPr="00163EEA" w:rsidRDefault="00F33DDE" w:rsidP="00163EEA">
            <w:pPr>
              <w:pStyle w:val="NoSpacing"/>
              <w:rPr>
                <w:sz w:val="20"/>
              </w:rPr>
            </w:pPr>
            <w:r w:rsidRPr="00163EEA">
              <w:rPr>
                <w:sz w:val="20"/>
              </w:rPr>
              <w:t>Helminths</w:t>
            </w:r>
          </w:p>
        </w:tc>
        <w:tc>
          <w:tcPr>
            <w:tcW w:w="3695" w:type="dxa"/>
          </w:tcPr>
          <w:p w14:paraId="60617A00" w14:textId="2D12B449" w:rsidR="00F33DDE" w:rsidRPr="00163EEA" w:rsidRDefault="00F27918" w:rsidP="00D165DA">
            <w:pPr>
              <w:pStyle w:val="NoSpacing"/>
              <w:rPr>
                <w:sz w:val="20"/>
              </w:rPr>
            </w:pPr>
            <w:r>
              <w:rPr>
                <w:sz w:val="20"/>
              </w:rPr>
              <w:t>Very Effective</w:t>
            </w:r>
            <w:r w:rsidR="00D165DA">
              <w:rPr>
                <w:sz w:val="20"/>
              </w:rPr>
              <w:t>*</w:t>
            </w:r>
          </w:p>
        </w:tc>
      </w:tr>
    </w:tbl>
    <w:p w14:paraId="01272317" w14:textId="3F868725" w:rsidR="00EB0679" w:rsidRDefault="00D165DA" w:rsidP="00EB0679">
      <w:pPr>
        <w:pStyle w:val="Caption"/>
        <w:rPr>
          <w:noProof/>
        </w:rPr>
        <w:sectPr w:rsidR="00EB0679"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r>
        <w:rPr>
          <w:noProof/>
        </w:rPr>
        <w:t>*Assumption based on pathogen size</w:t>
      </w:r>
    </w:p>
    <w:p w14:paraId="5579E6DF" w14:textId="77777777" w:rsidR="003125F4" w:rsidRDefault="00AE29FC" w:rsidP="003125F4">
      <w:pPr>
        <w:pStyle w:val="Heading2"/>
      </w:pPr>
      <w:r w:rsidRPr="003125F4">
        <w:t xml:space="preserve">Other </w:t>
      </w:r>
      <w:r w:rsidR="004D674B" w:rsidRPr="003125F4">
        <w:t>Parameters</w:t>
      </w:r>
    </w:p>
    <w:p w14:paraId="409AD7B9" w14:textId="535A17C0" w:rsidR="00AE29FC" w:rsidRPr="003125F4" w:rsidRDefault="00F27918" w:rsidP="003125F4">
      <w:r>
        <w:t>Effective for removing</w:t>
      </w:r>
      <w:r w:rsidR="00F33DDE" w:rsidRPr="003125F4">
        <w:t xml:space="preserve"> turbidity</w:t>
      </w:r>
      <w:r w:rsidR="004D674B" w:rsidRPr="003125F4">
        <w:t xml:space="preserve">. </w:t>
      </w:r>
      <w:r w:rsidR="00C35755">
        <w:t>The version with activated carbon can help remove chemicals and improve the taste of water.</w:t>
      </w:r>
    </w:p>
    <w:p w14:paraId="0F52A9EE" w14:textId="77777777" w:rsidR="003125F4" w:rsidRDefault="00A53254" w:rsidP="003125F4">
      <w:pPr>
        <w:pStyle w:val="Heading2"/>
      </w:pPr>
      <w:r w:rsidRPr="003125F4">
        <w:t>Source</w:t>
      </w:r>
      <w:r w:rsidR="008C6462" w:rsidRPr="003125F4">
        <w:t xml:space="preserve"> </w:t>
      </w:r>
      <w:r w:rsidR="003125F4">
        <w:t>Water Requirements</w:t>
      </w:r>
    </w:p>
    <w:p w14:paraId="714DBB24" w14:textId="76C8F50B" w:rsidR="008C6462" w:rsidRPr="003125F4" w:rsidRDefault="00C87438" w:rsidP="003125F4">
      <w:r>
        <w:t>Very turbid water may</w:t>
      </w:r>
      <w:r w:rsidR="00192D4B">
        <w:t xml:space="preserve"> cause the filter to</w:t>
      </w:r>
      <w:r>
        <w:t xml:space="preserve"> clog and require more frequent cleaning.</w:t>
      </w:r>
    </w:p>
    <w:p w14:paraId="4E11504F" w14:textId="77777777" w:rsidR="003125F4" w:rsidRDefault="008C6462" w:rsidP="003125F4">
      <w:pPr>
        <w:pStyle w:val="Heading2"/>
      </w:pPr>
      <w:r w:rsidRPr="003125F4">
        <w:t>Capacity</w:t>
      </w:r>
    </w:p>
    <w:p w14:paraId="0942C6D6" w14:textId="2DDC8351" w:rsidR="008C6462" w:rsidRPr="003125F4" w:rsidRDefault="00C35755" w:rsidP="00C87438">
      <w:r>
        <w:t>Can treat 10</w:t>
      </w:r>
      <w:r w:rsidR="00D165DA">
        <w:t xml:space="preserve"> L at a time</w:t>
      </w:r>
      <w:r w:rsidR="0088390A">
        <w:t xml:space="preserve">. </w:t>
      </w:r>
      <w:r w:rsidR="00D165DA">
        <w:t xml:space="preserve">Flow rate is </w:t>
      </w:r>
      <w:r>
        <w:t>up to 4 L/hour</w:t>
      </w:r>
      <w:r w:rsidR="00D165DA">
        <w:t xml:space="preserve">. </w:t>
      </w:r>
    </w:p>
    <w:p w14:paraId="61D2B4F1" w14:textId="77777777" w:rsidR="003125F4" w:rsidRDefault="008C6462" w:rsidP="003125F4">
      <w:pPr>
        <w:pStyle w:val="Heading2"/>
      </w:pPr>
      <w:r w:rsidRPr="003125F4">
        <w:t>Lifespan</w:t>
      </w:r>
    </w:p>
    <w:p w14:paraId="6B745A0A" w14:textId="0E7A728E" w:rsidR="008C6462" w:rsidRPr="003125F4" w:rsidRDefault="0088390A" w:rsidP="003125F4">
      <w:r>
        <w:t>Manufacturer-</w:t>
      </w:r>
      <w:r w:rsidR="00D165DA">
        <w:t>state</w:t>
      </w:r>
      <w:r w:rsidR="00A960BC">
        <w:t xml:space="preserve">d lifespan is </w:t>
      </w:r>
      <w:r w:rsidR="00C35755">
        <w:t>up to 5</w:t>
      </w:r>
      <w:r w:rsidR="00A960BC">
        <w:t>0,000 L per ceramic candle</w:t>
      </w:r>
      <w:r w:rsidR="00C35755">
        <w:t>, or up to 6 months for the candles with activated carbon</w:t>
      </w:r>
      <w:r w:rsidR="00C87438">
        <w:t>.</w:t>
      </w:r>
      <w:r w:rsidR="00A960BC">
        <w:t xml:space="preserve"> Actual lifespan will vary, depending on water quality, use, and maintenance.</w:t>
      </w:r>
    </w:p>
    <w:p w14:paraId="69AF1F53" w14:textId="77777777" w:rsidR="00FC0B37" w:rsidRPr="004C3429" w:rsidRDefault="00FC0B37" w:rsidP="00B9649E">
      <w:pPr>
        <w:pStyle w:val="Heading1"/>
        <w:rPr>
          <w:noProof/>
        </w:rPr>
      </w:pPr>
      <w:bookmarkStart w:id="1" w:name="_Toc471803731"/>
      <w:r w:rsidRPr="004C3429">
        <w:rPr>
          <w:noProof/>
        </w:rPr>
        <w:t xml:space="preserve">Ease </w:t>
      </w:r>
      <w:r w:rsidR="008C6462" w:rsidRPr="004C3429">
        <w:rPr>
          <w:noProof/>
        </w:rPr>
        <w:t>of Use &amp; Acceptability</w:t>
      </w:r>
    </w:p>
    <w:p w14:paraId="7E51B05B" w14:textId="77777777" w:rsidR="003125F4" w:rsidRDefault="003125F4" w:rsidP="003125F4">
      <w:pPr>
        <w:pStyle w:val="Heading2"/>
      </w:pPr>
      <w:r>
        <w:t>Operation &amp; Maintenance</w:t>
      </w:r>
    </w:p>
    <w:p w14:paraId="1EE780E8" w14:textId="70622B5A" w:rsidR="00FC0B37" w:rsidRPr="003125F4" w:rsidRDefault="00C87438" w:rsidP="003125F4">
      <w:r>
        <w:t>User</w:t>
      </w:r>
      <w:r w:rsidR="00192D4B">
        <w:t>s</w:t>
      </w:r>
      <w:r>
        <w:t xml:space="preserve"> pour water into the upper container and wait for water to flow through the filter into the lower safe storage container. Treated water can be accessed through the tap. When flow rate </w:t>
      </w:r>
      <w:r w:rsidR="00B92400">
        <w:t>decreases</w:t>
      </w:r>
      <w:r>
        <w:t xml:space="preserve"> after some time, a </w:t>
      </w:r>
      <w:r w:rsidR="00A960BC">
        <w:t>scrub pad</w:t>
      </w:r>
      <w:r>
        <w:t xml:space="preserve"> can be used to rub away a very small layer of the ceramic material</w:t>
      </w:r>
      <w:r w:rsidR="00B9649E" w:rsidRPr="003125F4">
        <w:t>.</w:t>
      </w:r>
      <w:r w:rsidR="000B4CE4">
        <w:t xml:space="preserve"> Emergency plugs are provided and make it possible to use the filter </w:t>
      </w:r>
      <w:r w:rsidR="000B4CE4">
        <w:t>with only one or two ceramic candles by blocking the other holes.</w:t>
      </w:r>
    </w:p>
    <w:p w14:paraId="324902D9" w14:textId="77777777" w:rsidR="003125F4" w:rsidRDefault="008C6462" w:rsidP="003125F4">
      <w:pPr>
        <w:pStyle w:val="Heading2"/>
      </w:pPr>
      <w:r w:rsidRPr="003125F4">
        <w:t>Repair &amp; Replacement</w:t>
      </w:r>
    </w:p>
    <w:p w14:paraId="35FF0C02" w14:textId="20701415" w:rsidR="008C6462" w:rsidRPr="003125F4" w:rsidRDefault="00C87438" w:rsidP="003125F4">
      <w:r>
        <w:t xml:space="preserve">The ceramic cartridges are fragile and must be replaced if there are cracks or leaks, or when </w:t>
      </w:r>
      <w:r w:rsidR="00192D4B">
        <w:t xml:space="preserve">repeated cleaning makes </w:t>
      </w:r>
      <w:r>
        <w:t>the</w:t>
      </w:r>
      <w:r w:rsidR="00192D4B">
        <w:t xml:space="preserve">m </w:t>
      </w:r>
      <w:r>
        <w:t xml:space="preserve">thinner than the </w:t>
      </w:r>
      <w:r w:rsidR="00A960BC">
        <w:t xml:space="preserve">measuring </w:t>
      </w:r>
      <w:r w:rsidR="000B4CE4">
        <w:t>gauge</w:t>
      </w:r>
      <w:r>
        <w:t xml:space="preserve"> </w:t>
      </w:r>
      <w:r w:rsidR="00E037AC">
        <w:t>provided</w:t>
      </w:r>
      <w:r>
        <w:t>. Plastic parts are more durable but may need replacement</w:t>
      </w:r>
      <w:r w:rsidR="008C6462" w:rsidRPr="003125F4">
        <w:t>.</w:t>
      </w:r>
    </w:p>
    <w:p w14:paraId="147C8604" w14:textId="77777777" w:rsidR="003125F4" w:rsidRDefault="008C6462" w:rsidP="003125F4">
      <w:pPr>
        <w:pStyle w:val="Heading2"/>
      </w:pPr>
      <w:r w:rsidRPr="003125F4">
        <w:t>User Considerations</w:t>
      </w:r>
      <w:r w:rsidR="00A53254" w:rsidRPr="003125F4">
        <w:t xml:space="preserve"> &amp; Preferences</w:t>
      </w:r>
    </w:p>
    <w:p w14:paraId="7B340623" w14:textId="46212EDF" w:rsidR="00C87438" w:rsidRDefault="00C87438" w:rsidP="00C87438">
      <w:r>
        <w:t xml:space="preserve">Safe storage is included with the filter (lower container). </w:t>
      </w:r>
    </w:p>
    <w:p w14:paraId="67D224B1" w14:textId="51350CAC" w:rsidR="00FC0B37" w:rsidRPr="004C3429" w:rsidRDefault="00FC0B37" w:rsidP="00C87438">
      <w:pPr>
        <w:pStyle w:val="Heading1"/>
        <w:rPr>
          <w:noProof/>
        </w:rPr>
      </w:pPr>
      <w:r w:rsidRPr="004C3429">
        <w:rPr>
          <w:noProof/>
        </w:rPr>
        <w:t>Feasibility</w:t>
      </w:r>
    </w:p>
    <w:p w14:paraId="03D679C3" w14:textId="77777777" w:rsidR="003125F4" w:rsidRPr="00B92400" w:rsidRDefault="008C6462" w:rsidP="003125F4">
      <w:pPr>
        <w:pStyle w:val="Heading2"/>
      </w:pPr>
      <w:r w:rsidRPr="00B92400">
        <w:t>Availability</w:t>
      </w:r>
    </w:p>
    <w:p w14:paraId="5609F10D" w14:textId="0125FCBB" w:rsidR="00FC0B37" w:rsidRPr="00B92400" w:rsidRDefault="00B92400" w:rsidP="003125F4">
      <w:r>
        <w:t>Bulk order information not available</w:t>
      </w:r>
      <w:r w:rsidR="000B4CE4" w:rsidRPr="00B92400">
        <w:t>.</w:t>
      </w:r>
    </w:p>
    <w:p w14:paraId="567156F0" w14:textId="77777777" w:rsidR="003125F4" w:rsidRPr="00B92400" w:rsidRDefault="008C6462" w:rsidP="003125F4">
      <w:pPr>
        <w:pStyle w:val="Heading2"/>
      </w:pPr>
      <w:r w:rsidRPr="00B92400">
        <w:t>Cost</w:t>
      </w:r>
    </w:p>
    <w:p w14:paraId="55211F83" w14:textId="547DAFE6" w:rsidR="008C6462" w:rsidRPr="00B92400" w:rsidRDefault="00B92400" w:rsidP="003125F4">
      <w:r>
        <w:t>Varies</w:t>
      </w:r>
      <w:r w:rsidR="0062399F" w:rsidRPr="00B92400">
        <w:t>.</w:t>
      </w:r>
    </w:p>
    <w:p w14:paraId="72C2B4C3" w14:textId="06BF3097" w:rsidR="003125F4" w:rsidRPr="00B92400" w:rsidRDefault="008C6462" w:rsidP="003125F4">
      <w:pPr>
        <w:pStyle w:val="Heading2"/>
      </w:pPr>
      <w:r w:rsidRPr="00B92400">
        <w:t xml:space="preserve">Size </w:t>
      </w:r>
      <w:r w:rsidR="00B44CB9" w:rsidRPr="00B92400">
        <w:t xml:space="preserve">&amp; </w:t>
      </w:r>
      <w:r w:rsidRPr="00B92400">
        <w:t>Weight</w:t>
      </w:r>
      <w:bookmarkStart w:id="2" w:name="_GoBack"/>
      <w:bookmarkEnd w:id="2"/>
    </w:p>
    <w:p w14:paraId="329D8451" w14:textId="0A58B73B" w:rsidR="008C6462" w:rsidRPr="003125F4" w:rsidRDefault="00B92400" w:rsidP="003125F4">
      <w:r w:rsidRPr="00B92400">
        <w:t>45 cm high, 25 cm in diameter. Weight, including filter elements, is 3 kg.</w:t>
      </w:r>
    </w:p>
    <w:bookmarkEnd w:id="1"/>
    <w:p w14:paraId="17E9EBCC" w14:textId="77777777" w:rsidR="00AA1CCE" w:rsidRPr="004C3429" w:rsidRDefault="00B9649E" w:rsidP="00B9649E">
      <w:pPr>
        <w:pStyle w:val="Heading1"/>
        <w:rPr>
          <w:noProof/>
        </w:rPr>
      </w:pPr>
      <w:r w:rsidRPr="004C3429">
        <w:rPr>
          <w:noProof/>
        </w:rPr>
        <w:t>More Information</w:t>
      </w:r>
    </w:p>
    <w:p w14:paraId="22CDC844" w14:textId="000DDE40" w:rsidR="00C4582D" w:rsidRDefault="00C4582D" w:rsidP="00C4582D">
      <w:pPr>
        <w:rPr>
          <w:noProof/>
        </w:rPr>
        <w:sectPr w:rsidR="00C4582D" w:rsidSect="00EB0679">
          <w:type w:val="continuous"/>
          <w:pgSz w:w="11900" w:h="16840" w:code="9"/>
          <w:pgMar w:top="720" w:right="720" w:bottom="720" w:left="720" w:header="737" w:footer="737" w:gutter="0"/>
          <w:pgNumType w:start="0"/>
          <w:cols w:num="2" w:space="708"/>
          <w:docGrid w:linePitch="360"/>
        </w:sectPr>
      </w:pPr>
      <w:r>
        <w:rPr>
          <w:noProof/>
        </w:rPr>
        <w:t xml:space="preserve">Details and references: </w:t>
      </w:r>
      <w:hyperlink r:id="rId13" w:history="1">
        <w:r w:rsidR="0052092D">
          <w:rPr>
            <w:rStyle w:val="Hyperlink"/>
            <w:noProof/>
          </w:rPr>
          <w:t>www.hwts.info/products-technologies/e3cb323b/katadynr-drip-filter</w:t>
        </w:r>
      </w:hyperlink>
    </w:p>
    <w:p w14:paraId="33E3046F" w14:textId="77777777" w:rsidR="00EB0679" w:rsidRPr="004C3429" w:rsidRDefault="00EB0679" w:rsidP="00EB0679">
      <w:pPr>
        <w:pStyle w:val="Table-AfterParagraphInvisibility"/>
      </w:pPr>
    </w:p>
    <w:sectPr w:rsidR="00EB0679" w:rsidRPr="004C3429"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3294B" w14:textId="77777777" w:rsidR="0012065C" w:rsidRDefault="0012065C" w:rsidP="00510EBB">
      <w:r>
        <w:separator/>
      </w:r>
    </w:p>
  </w:endnote>
  <w:endnote w:type="continuationSeparator" w:id="0">
    <w:p w14:paraId="0152673A" w14:textId="77777777" w:rsidR="0012065C" w:rsidRDefault="0012065C"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6BE7"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E4E38EF"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0B19C28C" w14:textId="77777777" w:rsidTr="00837C45">
      <w:trPr>
        <w:trHeight w:val="680"/>
      </w:trPr>
      <w:tc>
        <w:tcPr>
          <w:tcW w:w="8870" w:type="dxa"/>
          <w:gridSpan w:val="2"/>
          <w:tcMar>
            <w:top w:w="57" w:type="dxa"/>
          </w:tcMar>
          <w:vAlign w:val="center"/>
        </w:tcPr>
        <w:p w14:paraId="6AA95BC9" w14:textId="77777777" w:rsidR="00FE7F58" w:rsidRPr="00FE7F58" w:rsidRDefault="00FE7F58" w:rsidP="00FE7F58">
          <w:pPr>
            <w:pStyle w:val="NoSpacing-Table"/>
          </w:pPr>
          <w:r w:rsidRPr="00FE7F58">
            <w:t>This resource is open content and licensed under a </w:t>
          </w:r>
          <w:hyperlink r:id="rId1" w:history="1">
            <w:r w:rsidRPr="00FE7F58">
              <w:rPr>
                <w:rStyle w:val="Hyperlink"/>
              </w:rPr>
              <w:t>Creative Commons Attribution-ShareAlike 4.0 International License</w:t>
            </w:r>
          </w:hyperlink>
          <w:r w:rsidRPr="00FE7F58">
            <w:t>. Refer to CAWST’s guidelines for distributing, translating, adapting, or referencing CAWST resources (</w:t>
          </w:r>
          <w:hyperlink r:id="rId2" w:history="1">
            <w:r w:rsidRPr="00FE7F58">
              <w:rPr>
                <w:rStyle w:val="Hyperlink"/>
              </w:rPr>
              <w:t>resources.cawst.org/cc</w:t>
            </w:r>
          </w:hyperlink>
          <w:r w:rsidRPr="00FE7F58">
            <w:t>).</w:t>
          </w:r>
        </w:p>
      </w:tc>
      <w:tc>
        <w:tcPr>
          <w:tcW w:w="1590" w:type="dxa"/>
          <w:tcMar>
            <w:top w:w="57" w:type="dxa"/>
          </w:tcMar>
          <w:vAlign w:val="center"/>
        </w:tcPr>
        <w:p w14:paraId="7E3324DA" w14:textId="77777777" w:rsidR="00FE7F58" w:rsidRPr="00FE7F58" w:rsidRDefault="00FE7F58" w:rsidP="00FE7F58">
          <w:pPr>
            <w:pStyle w:val="NoSpacing-Table"/>
            <w:jc w:val="right"/>
          </w:pPr>
          <w:r w:rsidRPr="00535AB5">
            <w:rPr>
              <w:noProof/>
              <w:lang w:val="en-CA" w:eastAsia="en-CA"/>
            </w:rPr>
            <w:drawing>
              <wp:inline distT="0" distB="0" distL="0" distR="0" wp14:anchorId="1050780C" wp14:editId="7A1A14C3">
                <wp:extent cx="840105" cy="297815"/>
                <wp:effectExtent l="0" t="0" r="0" b="6985"/>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2D133B00" w14:textId="77777777" w:rsidTr="00837C45">
      <w:trPr>
        <w:trHeight w:val="680"/>
      </w:trPr>
      <w:tc>
        <w:tcPr>
          <w:tcW w:w="1902" w:type="dxa"/>
          <w:vAlign w:val="bottom"/>
        </w:tcPr>
        <w:p w14:paraId="7649385E" w14:textId="77777777" w:rsidR="00FE7F58" w:rsidRDefault="00FE7F58" w:rsidP="007A328F">
          <w:pPr>
            <w:pStyle w:val="Footer"/>
            <w:jc w:val="left"/>
          </w:pPr>
          <w:r>
            <w:rPr>
              <w:noProof/>
              <w:lang w:eastAsia="en-CA"/>
            </w:rPr>
            <w:drawing>
              <wp:inline distT="0" distB="0" distL="0" distR="0" wp14:anchorId="559B63B7" wp14:editId="454D4C74">
                <wp:extent cx="960707" cy="326571"/>
                <wp:effectExtent l="0" t="0" r="508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7204613C" w14:textId="77777777" w:rsidR="00FE7F58" w:rsidRPr="007A328F" w:rsidRDefault="00FE7F58" w:rsidP="007A328F">
          <w:pPr>
            <w:pStyle w:val="Footer"/>
          </w:pPr>
          <w:r w:rsidRPr="007A328F">
            <w:t xml:space="preserve">Calgary, Canada | </w:t>
          </w:r>
          <w:hyperlink r:id="rId6" w:history="1">
            <w:r w:rsidRPr="007A328F">
              <w:rPr>
                <w:rStyle w:val="Hyperlink"/>
              </w:rPr>
              <w:t>resources.cawst.org</w:t>
            </w:r>
          </w:hyperlink>
          <w:r w:rsidRPr="007A328F">
            <w:t xml:space="preserve"> | </w:t>
          </w:r>
          <w:hyperlink r:id="rId7" w:history="1">
            <w:r w:rsidRPr="007A328F">
              <w:rPr>
                <w:rStyle w:val="Hyperlink"/>
              </w:rPr>
              <w:t>support@cawst.org</w:t>
            </w:r>
          </w:hyperlink>
        </w:p>
      </w:tc>
    </w:tr>
  </w:tbl>
  <w:p w14:paraId="55CB40B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8922" w14:textId="77777777" w:rsidR="0012065C" w:rsidRDefault="0012065C" w:rsidP="00510EBB">
      <w:r>
        <w:separator/>
      </w:r>
    </w:p>
  </w:footnote>
  <w:footnote w:type="continuationSeparator" w:id="0">
    <w:p w14:paraId="452D1664" w14:textId="77777777" w:rsidR="0012065C" w:rsidRDefault="0012065C"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9714" w14:textId="713F8CF5" w:rsidR="000B537F" w:rsidRPr="00BA5893" w:rsidRDefault="00BA5893" w:rsidP="00BA5893">
    <w:pPr>
      <w:pStyle w:val="Header"/>
      <w:rPr>
        <w:lang w:val="en-US"/>
      </w:rPr>
    </w:pPr>
    <w:r>
      <w:rPr>
        <w:lang w:val="en-US"/>
      </w:rPr>
      <w:t xml:space="preserve">Household Water Treatment and Safe Storage </w:t>
    </w:r>
    <w:r>
      <w:t>Fact Sheet</w:t>
    </w:r>
    <w:r>
      <w:rPr>
        <w:lang w:val="en-US"/>
      </w:rPr>
      <w:t xml:space="preserve"> | </w:t>
    </w:r>
    <w:r w:rsidRPr="00535AB5">
      <w:t xml:space="preserve">Last Update: </w:t>
    </w:r>
    <w:r w:rsidR="00B92400">
      <w:t>March</w:t>
    </w:r>
    <w:r w:rsidR="00D165DA">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CC7E" w14:textId="77777777" w:rsidR="00FC0B37" w:rsidRPr="00FC0B37" w:rsidRDefault="00FC0B37" w:rsidP="00FC0B37">
    <w:pPr>
      <w:pStyle w:val="Header"/>
      <w:rPr>
        <w:lang w:val="en-US"/>
      </w:rPr>
    </w:pPr>
    <w:r>
      <w:rPr>
        <w:lang w:val="en-US"/>
      </w:rPr>
      <w:t>Household Water Treatment and Safe Storage Technology 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CA" w:vendorID="64" w:dllVersion="131078" w:nlCheck="1" w:checkStyle="1"/>
  <w:activeWritingStyle w:appName="MSWord" w:lang="en-US" w:vendorID="64" w:dllVersion="131078" w:nlCheck="1" w:checkStyle="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73"/>
    <w:rsid w:val="00001F77"/>
    <w:rsid w:val="0000349D"/>
    <w:rsid w:val="0000632D"/>
    <w:rsid w:val="000250E0"/>
    <w:rsid w:val="000465CE"/>
    <w:rsid w:val="00086E6B"/>
    <w:rsid w:val="00092967"/>
    <w:rsid w:val="000B33C2"/>
    <w:rsid w:val="000B36AE"/>
    <w:rsid w:val="000B4CE4"/>
    <w:rsid w:val="000B537F"/>
    <w:rsid w:val="000C4E47"/>
    <w:rsid w:val="000F79D9"/>
    <w:rsid w:val="001106B5"/>
    <w:rsid w:val="0012065C"/>
    <w:rsid w:val="00120ED8"/>
    <w:rsid w:val="00121E61"/>
    <w:rsid w:val="00122376"/>
    <w:rsid w:val="0012462F"/>
    <w:rsid w:val="00126AA8"/>
    <w:rsid w:val="001432FE"/>
    <w:rsid w:val="001625DE"/>
    <w:rsid w:val="00163EEA"/>
    <w:rsid w:val="00166D7F"/>
    <w:rsid w:val="001759D6"/>
    <w:rsid w:val="00192D4B"/>
    <w:rsid w:val="001B15DC"/>
    <w:rsid w:val="001C4A07"/>
    <w:rsid w:val="001D3FAF"/>
    <w:rsid w:val="001D449C"/>
    <w:rsid w:val="001E0441"/>
    <w:rsid w:val="001F09BD"/>
    <w:rsid w:val="00203CB5"/>
    <w:rsid w:val="00226E08"/>
    <w:rsid w:val="00235C6C"/>
    <w:rsid w:val="00236D2F"/>
    <w:rsid w:val="00250F82"/>
    <w:rsid w:val="00252508"/>
    <w:rsid w:val="002605EA"/>
    <w:rsid w:val="002607FF"/>
    <w:rsid w:val="00261923"/>
    <w:rsid w:val="00270EFC"/>
    <w:rsid w:val="00280E15"/>
    <w:rsid w:val="00281503"/>
    <w:rsid w:val="00285CB6"/>
    <w:rsid w:val="002A3BA4"/>
    <w:rsid w:val="002B1538"/>
    <w:rsid w:val="002B34D5"/>
    <w:rsid w:val="002D6DC8"/>
    <w:rsid w:val="002E27F8"/>
    <w:rsid w:val="002E39FF"/>
    <w:rsid w:val="002F0588"/>
    <w:rsid w:val="002F18C6"/>
    <w:rsid w:val="002F562E"/>
    <w:rsid w:val="00302819"/>
    <w:rsid w:val="003125F4"/>
    <w:rsid w:val="003239C4"/>
    <w:rsid w:val="0032798F"/>
    <w:rsid w:val="003361F6"/>
    <w:rsid w:val="00336873"/>
    <w:rsid w:val="00340EEC"/>
    <w:rsid w:val="00343453"/>
    <w:rsid w:val="00344DCF"/>
    <w:rsid w:val="00345C5E"/>
    <w:rsid w:val="003471BA"/>
    <w:rsid w:val="00353B84"/>
    <w:rsid w:val="003634A1"/>
    <w:rsid w:val="00376F79"/>
    <w:rsid w:val="003858E9"/>
    <w:rsid w:val="003947A0"/>
    <w:rsid w:val="003B0DAD"/>
    <w:rsid w:val="003C1855"/>
    <w:rsid w:val="003C3972"/>
    <w:rsid w:val="003C4AD3"/>
    <w:rsid w:val="003D5414"/>
    <w:rsid w:val="003E2A3A"/>
    <w:rsid w:val="003E57B8"/>
    <w:rsid w:val="004132B1"/>
    <w:rsid w:val="00423C81"/>
    <w:rsid w:val="00453773"/>
    <w:rsid w:val="004611E4"/>
    <w:rsid w:val="004872B2"/>
    <w:rsid w:val="0049451E"/>
    <w:rsid w:val="004B1945"/>
    <w:rsid w:val="004B50D8"/>
    <w:rsid w:val="004C3429"/>
    <w:rsid w:val="004D4508"/>
    <w:rsid w:val="004D674B"/>
    <w:rsid w:val="00510EBB"/>
    <w:rsid w:val="0052092D"/>
    <w:rsid w:val="00521C57"/>
    <w:rsid w:val="00523F7A"/>
    <w:rsid w:val="00533BA4"/>
    <w:rsid w:val="00534CA9"/>
    <w:rsid w:val="0053522D"/>
    <w:rsid w:val="00535AB5"/>
    <w:rsid w:val="0053705C"/>
    <w:rsid w:val="005477F0"/>
    <w:rsid w:val="00574499"/>
    <w:rsid w:val="005826C0"/>
    <w:rsid w:val="005921AD"/>
    <w:rsid w:val="005960CC"/>
    <w:rsid w:val="005A3D65"/>
    <w:rsid w:val="005A4AA7"/>
    <w:rsid w:val="005A7F55"/>
    <w:rsid w:val="005B2FBC"/>
    <w:rsid w:val="005C659E"/>
    <w:rsid w:val="005E26C3"/>
    <w:rsid w:val="005E6FA5"/>
    <w:rsid w:val="005F2A04"/>
    <w:rsid w:val="005F62FB"/>
    <w:rsid w:val="006034E6"/>
    <w:rsid w:val="00605FB9"/>
    <w:rsid w:val="00616773"/>
    <w:rsid w:val="0062399F"/>
    <w:rsid w:val="00623D4E"/>
    <w:rsid w:val="006246DB"/>
    <w:rsid w:val="00630811"/>
    <w:rsid w:val="006320FF"/>
    <w:rsid w:val="00637110"/>
    <w:rsid w:val="00644996"/>
    <w:rsid w:val="00645316"/>
    <w:rsid w:val="00667A79"/>
    <w:rsid w:val="00691E08"/>
    <w:rsid w:val="00695694"/>
    <w:rsid w:val="006C3B27"/>
    <w:rsid w:val="006D24D4"/>
    <w:rsid w:val="006E5A14"/>
    <w:rsid w:val="007031BD"/>
    <w:rsid w:val="00706A88"/>
    <w:rsid w:val="0071380E"/>
    <w:rsid w:val="00715DB7"/>
    <w:rsid w:val="0077622C"/>
    <w:rsid w:val="00780E43"/>
    <w:rsid w:val="0078219E"/>
    <w:rsid w:val="00795718"/>
    <w:rsid w:val="007A328F"/>
    <w:rsid w:val="007B7124"/>
    <w:rsid w:val="007C12F3"/>
    <w:rsid w:val="007C3581"/>
    <w:rsid w:val="007C3BBE"/>
    <w:rsid w:val="007D69A5"/>
    <w:rsid w:val="008029BD"/>
    <w:rsid w:val="00825E09"/>
    <w:rsid w:val="00827624"/>
    <w:rsid w:val="00837C45"/>
    <w:rsid w:val="00850240"/>
    <w:rsid w:val="008575A6"/>
    <w:rsid w:val="00865422"/>
    <w:rsid w:val="008822F7"/>
    <w:rsid w:val="008838D5"/>
    <w:rsid w:val="0088390A"/>
    <w:rsid w:val="008844F3"/>
    <w:rsid w:val="008850B2"/>
    <w:rsid w:val="00886D88"/>
    <w:rsid w:val="008A7998"/>
    <w:rsid w:val="008B221E"/>
    <w:rsid w:val="008C6462"/>
    <w:rsid w:val="008C6DB3"/>
    <w:rsid w:val="008F0AEE"/>
    <w:rsid w:val="008F6FCB"/>
    <w:rsid w:val="0091776C"/>
    <w:rsid w:val="0093385B"/>
    <w:rsid w:val="009355DE"/>
    <w:rsid w:val="00953408"/>
    <w:rsid w:val="0096430D"/>
    <w:rsid w:val="009905F7"/>
    <w:rsid w:val="009A53AD"/>
    <w:rsid w:val="009B0821"/>
    <w:rsid w:val="009C4189"/>
    <w:rsid w:val="009C458F"/>
    <w:rsid w:val="009D452E"/>
    <w:rsid w:val="009D6BEC"/>
    <w:rsid w:val="009E32CF"/>
    <w:rsid w:val="009E6172"/>
    <w:rsid w:val="009E6447"/>
    <w:rsid w:val="00A07F44"/>
    <w:rsid w:val="00A31582"/>
    <w:rsid w:val="00A3549E"/>
    <w:rsid w:val="00A40173"/>
    <w:rsid w:val="00A4205E"/>
    <w:rsid w:val="00A44AD4"/>
    <w:rsid w:val="00A45B29"/>
    <w:rsid w:val="00A53254"/>
    <w:rsid w:val="00A71226"/>
    <w:rsid w:val="00A87D89"/>
    <w:rsid w:val="00A937B9"/>
    <w:rsid w:val="00A960BC"/>
    <w:rsid w:val="00AA1CCE"/>
    <w:rsid w:val="00AB2AE8"/>
    <w:rsid w:val="00AB2D37"/>
    <w:rsid w:val="00AC2412"/>
    <w:rsid w:val="00AE29FC"/>
    <w:rsid w:val="00AF7DA7"/>
    <w:rsid w:val="00B2197D"/>
    <w:rsid w:val="00B222BA"/>
    <w:rsid w:val="00B25AEF"/>
    <w:rsid w:val="00B365C1"/>
    <w:rsid w:val="00B44CB9"/>
    <w:rsid w:val="00B82B38"/>
    <w:rsid w:val="00B842B1"/>
    <w:rsid w:val="00B84753"/>
    <w:rsid w:val="00B9083E"/>
    <w:rsid w:val="00B92400"/>
    <w:rsid w:val="00B9649E"/>
    <w:rsid w:val="00BA02BC"/>
    <w:rsid w:val="00BA0EAB"/>
    <w:rsid w:val="00BA330B"/>
    <w:rsid w:val="00BA5893"/>
    <w:rsid w:val="00BA6F5C"/>
    <w:rsid w:val="00BC4D1B"/>
    <w:rsid w:val="00BC7ABA"/>
    <w:rsid w:val="00BD73B8"/>
    <w:rsid w:val="00C01012"/>
    <w:rsid w:val="00C03318"/>
    <w:rsid w:val="00C27860"/>
    <w:rsid w:val="00C35755"/>
    <w:rsid w:val="00C4582D"/>
    <w:rsid w:val="00C601D0"/>
    <w:rsid w:val="00C72087"/>
    <w:rsid w:val="00C77462"/>
    <w:rsid w:val="00C87438"/>
    <w:rsid w:val="00C915D7"/>
    <w:rsid w:val="00CB0992"/>
    <w:rsid w:val="00CD413B"/>
    <w:rsid w:val="00CD6078"/>
    <w:rsid w:val="00CF68E8"/>
    <w:rsid w:val="00D01E85"/>
    <w:rsid w:val="00D041AD"/>
    <w:rsid w:val="00D05C8D"/>
    <w:rsid w:val="00D1044B"/>
    <w:rsid w:val="00D12CE0"/>
    <w:rsid w:val="00D165DA"/>
    <w:rsid w:val="00D338CE"/>
    <w:rsid w:val="00D40A5D"/>
    <w:rsid w:val="00D437DB"/>
    <w:rsid w:val="00D55F50"/>
    <w:rsid w:val="00D84377"/>
    <w:rsid w:val="00D85ECD"/>
    <w:rsid w:val="00D96165"/>
    <w:rsid w:val="00DA0006"/>
    <w:rsid w:val="00DC6216"/>
    <w:rsid w:val="00DE2D96"/>
    <w:rsid w:val="00DF45CF"/>
    <w:rsid w:val="00E037AC"/>
    <w:rsid w:val="00E05780"/>
    <w:rsid w:val="00E21494"/>
    <w:rsid w:val="00E400D5"/>
    <w:rsid w:val="00E54B55"/>
    <w:rsid w:val="00E5602B"/>
    <w:rsid w:val="00E60744"/>
    <w:rsid w:val="00E81B98"/>
    <w:rsid w:val="00E94755"/>
    <w:rsid w:val="00E94DB4"/>
    <w:rsid w:val="00EA1320"/>
    <w:rsid w:val="00EA1DE2"/>
    <w:rsid w:val="00EA3F36"/>
    <w:rsid w:val="00EB032A"/>
    <w:rsid w:val="00EB0679"/>
    <w:rsid w:val="00EB1D4D"/>
    <w:rsid w:val="00EC6060"/>
    <w:rsid w:val="00EE44ED"/>
    <w:rsid w:val="00EE77C9"/>
    <w:rsid w:val="00EF1932"/>
    <w:rsid w:val="00EF28BF"/>
    <w:rsid w:val="00F05BFD"/>
    <w:rsid w:val="00F14F8B"/>
    <w:rsid w:val="00F27918"/>
    <w:rsid w:val="00F33D12"/>
    <w:rsid w:val="00F33DDE"/>
    <w:rsid w:val="00F35215"/>
    <w:rsid w:val="00F71475"/>
    <w:rsid w:val="00F7354A"/>
    <w:rsid w:val="00F9080F"/>
    <w:rsid w:val="00F93C72"/>
    <w:rsid w:val="00FC0B37"/>
    <w:rsid w:val="00FD61C9"/>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7CCA2C"/>
  <w14:defaultImageDpi w14:val="330"/>
  <w15:docId w15:val="{0BD89C3A-2D4C-4F2E-8382-171CD91F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4D"/>
    <w:pPr>
      <w:spacing w:after="120"/>
    </w:pPr>
    <w:rPr>
      <w:rFonts w:ascii="Calibri" w:hAnsi="Calibri"/>
      <w:color w:val="404040" w:themeColor="text1"/>
      <w:sz w:val="22"/>
      <w:szCs w:val="20"/>
      <w:lang w:val="en-CA"/>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en-CA"/>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en-CA"/>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en-CA"/>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lang w:val="es-ES"/>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es-ES"/>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en-CA"/>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en-CA"/>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en-CA"/>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en-CA"/>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lang w:val="en-CA"/>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210268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wts.info/products-technologies/e3cb323b/katadynr-drip-fil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Fact_Sheet_2017_08.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F777B-14AA-4133-91E6-B882E2C7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Template_Fact_Sheet_2017_08.dotx</Template>
  <TotalTime>5</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Naomi Mahaffy</cp:lastModifiedBy>
  <cp:revision>3</cp:revision>
  <cp:lastPrinted>2017-03-01T20:59:00Z</cp:lastPrinted>
  <dcterms:created xsi:type="dcterms:W3CDTF">2018-03-15T18:01:00Z</dcterms:created>
  <dcterms:modified xsi:type="dcterms:W3CDTF">2018-03-15T18:06:00Z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