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1241" w14:textId="2F8F7D67" w:rsidR="00EB0679" w:rsidRPr="00B31B94" w:rsidRDefault="00644466" w:rsidP="00EB0679">
      <w:pPr>
        <w:pStyle w:val="Title"/>
      </w:pPr>
      <w:r w:rsidRPr="00B31B94">
        <w:t>Coagulants chimiques</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B31B94" w14:paraId="5842CDBB" w14:textId="77777777" w:rsidTr="005F4ADC">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ED121FA" w14:textId="0BE990C4" w:rsidR="00345C5E" w:rsidRPr="00B31B94" w:rsidRDefault="00CE67A3" w:rsidP="00E94755">
            <w:pPr>
              <w:pStyle w:val="MBATableText"/>
            </w:pPr>
            <w:r>
              <w:t>Protection du point d</w:t>
            </w:r>
            <w:r>
              <w:rPr>
                <w:lang w:val="en-CA"/>
              </w:rPr>
              <w:t>’eau</w:t>
            </w:r>
            <w:bookmarkStart w:id="0" w:name="_GoBack"/>
            <w:bookmarkEnd w:id="0"/>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8114FE9" w14:textId="77777777" w:rsidR="00345C5E" w:rsidRPr="00B31B94" w:rsidRDefault="00345C5E" w:rsidP="00E94755">
            <w:pPr>
              <w:pStyle w:val="MBATableText"/>
            </w:pPr>
            <w:r w:rsidRPr="00B31B94">
              <w:t>Transport hygiénique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3B335A30" w14:textId="77777777" w:rsidR="00345C5E" w:rsidRPr="00B31B94" w:rsidRDefault="00345C5E" w:rsidP="0045655D">
            <w:pPr>
              <w:pStyle w:val="MBATableText-Selected"/>
              <w:rPr>
                <w:noProof w:val="0"/>
              </w:rPr>
            </w:pPr>
            <w:r w:rsidRPr="00B31B94">
              <w:rPr>
                <w:noProof w:val="0"/>
              </w:rPr>
              <w:t>Sédimentation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C17B449" w14:textId="77777777" w:rsidR="00345C5E" w:rsidRPr="00B31B94" w:rsidRDefault="00345C5E" w:rsidP="00D1044B">
            <w:pPr>
              <w:pStyle w:val="MBATableText-Selected"/>
              <w:rPr>
                <w:b w:val="0"/>
                <w:noProof w:val="0"/>
              </w:rPr>
            </w:pPr>
            <w:r w:rsidRPr="00B31B94">
              <w:rPr>
                <w:b w:val="0"/>
                <w:noProof w:val="0"/>
              </w:rPr>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46C2DFB" w14:textId="77777777" w:rsidR="00345C5E" w:rsidRPr="00B31B94" w:rsidRDefault="00345C5E" w:rsidP="00E94755">
            <w:pPr>
              <w:pStyle w:val="MBATableText"/>
            </w:pPr>
            <w:r w:rsidRPr="00B31B94">
              <w:t>Désinfection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52CF1BD" w14:textId="77777777" w:rsidR="00345C5E" w:rsidRPr="00B31B94" w:rsidRDefault="00345C5E" w:rsidP="00E94755">
            <w:pPr>
              <w:pStyle w:val="MBATableText"/>
            </w:pPr>
            <w:r w:rsidRPr="00B31B94">
              <w:t>Conservation hygiénique</w:t>
            </w:r>
          </w:p>
        </w:tc>
      </w:tr>
    </w:tbl>
    <w:p w14:paraId="15DB5255" w14:textId="56D49675" w:rsidR="00510EBB" w:rsidRPr="00B31B94" w:rsidRDefault="00B9649E" w:rsidP="00A45B29">
      <w:pPr>
        <w:pStyle w:val="Heading1"/>
      </w:pPr>
      <w:r w:rsidRPr="00B31B94">
        <w:t xml:space="preserve">De quoi s'agit-il ? </w:t>
      </w:r>
    </w:p>
    <w:p w14:paraId="19F240BA" w14:textId="7708C43B" w:rsidR="00D338CE" w:rsidRPr="00B31B94" w:rsidRDefault="005D4B12" w:rsidP="002947C7">
      <w:r w:rsidRPr="00B31B94">
        <w:rPr>
          <w:noProof/>
        </w:rPr>
        <w:drawing>
          <wp:anchor distT="0" distB="0" distL="114300" distR="114300" simplePos="0" relativeHeight="251658240" behindDoc="0" locked="0" layoutInCell="1" allowOverlap="1" wp14:anchorId="5C1D27CC" wp14:editId="12B5D3EA">
            <wp:simplePos x="0" y="0"/>
            <wp:positionH relativeFrom="column">
              <wp:posOffset>4669155</wp:posOffset>
            </wp:positionH>
            <wp:positionV relativeFrom="paragraph">
              <wp:posOffset>848995</wp:posOffset>
            </wp:positionV>
            <wp:extent cx="195072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_bag_rock.tif"/>
                    <pic:cNvPicPr/>
                  </pic:nvPicPr>
                  <pic:blipFill>
                    <a:blip r:embed="rId8">
                      <a:extLst>
                        <a:ext uri="{28A0092B-C50C-407E-A947-70E740481C1C}">
                          <a14:useLocalDpi xmlns:a14="http://schemas.microsoft.com/office/drawing/2010/main" val="0"/>
                        </a:ext>
                      </a:extLst>
                    </a:blip>
                    <a:stretch>
                      <a:fillRect/>
                    </a:stretch>
                  </pic:blipFill>
                  <pic:spPr>
                    <a:xfrm>
                      <a:off x="0" y="0"/>
                      <a:ext cx="1950720" cy="1600200"/>
                    </a:xfrm>
                    <a:prstGeom prst="rect">
                      <a:avLst/>
                    </a:prstGeom>
                  </pic:spPr>
                </pic:pic>
              </a:graphicData>
            </a:graphic>
            <wp14:sizeRelH relativeFrom="margin">
              <wp14:pctWidth>0</wp14:pctWidth>
            </wp14:sizeRelH>
            <wp14:sizeRelV relativeFrom="margin">
              <wp14:pctHeight>0</wp14:pctHeight>
            </wp14:sizeRelV>
          </wp:anchor>
        </w:drawing>
      </w:r>
      <w:r w:rsidRPr="00B31B94">
        <w:rPr>
          <w:shd w:val="clear" w:color="auto" w:fill="FFFFFF"/>
        </w:rPr>
        <w:t xml:space="preserve">Les coagulants chimiques sont des substances que l'on ajoute à l'eau pour que les particules s'agglomèrent entre elles et se décantent plus rapidement. Ils sont fréquemment utilisés pour le traitement de l'eau potable à l'échelle communautaire mais parfois aussi pour le traitement de l'eau à domicile. Les substances chimiques utilisées pour la coagulation sont notamment le sulfate d’aluminium (alun), le chlorure de polyaluminium (aussi appelé alun liquide) et les sels de fer (sulfate de fer ou chlorure de fer). </w:t>
      </w:r>
    </w:p>
    <w:p w14:paraId="7DA9DBBC" w14:textId="6C223785" w:rsidR="00AA1CCE" w:rsidRPr="00B31B94" w:rsidRDefault="00FC0B37" w:rsidP="00B9649E">
      <w:pPr>
        <w:pStyle w:val="Heading1"/>
      </w:pPr>
      <w:r w:rsidRPr="00B31B94">
        <w:t>Efficacité</w:t>
      </w:r>
    </w:p>
    <w:p w14:paraId="785FB607" w14:textId="34E9DB65" w:rsidR="004D674B" w:rsidRPr="00B31B94" w:rsidRDefault="004D674B" w:rsidP="00B31B94">
      <w:pPr>
        <w:pStyle w:val="Heading2"/>
        <w:spacing w:before="0"/>
      </w:pPr>
      <w:r w:rsidRPr="00B31B94">
        <w:t>Efficacité microbiologique</w:t>
      </w:r>
    </w:p>
    <w:tbl>
      <w:tblPr>
        <w:tblStyle w:val="PlainTable3"/>
        <w:tblW w:w="6946" w:type="dxa"/>
        <w:tblLook w:val="0420" w:firstRow="1" w:lastRow="0" w:firstColumn="0" w:lastColumn="0" w:noHBand="0" w:noVBand="1"/>
      </w:tblPr>
      <w:tblGrid>
        <w:gridCol w:w="2323"/>
        <w:gridCol w:w="4623"/>
      </w:tblGrid>
      <w:tr w:rsidR="00EB0679" w:rsidRPr="00B31B94" w14:paraId="70D4B9F3" w14:textId="77777777" w:rsidTr="00B50565">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0AD718C4" w14:textId="77777777" w:rsidR="004D674B" w:rsidRPr="00B31B94" w:rsidRDefault="004D674B" w:rsidP="00163EEA">
            <w:pPr>
              <w:pStyle w:val="NoSpacing"/>
              <w:rPr>
                <w:sz w:val="20"/>
              </w:rPr>
            </w:pPr>
            <w:r w:rsidRPr="00B31B94">
              <w:rPr>
                <w:sz w:val="20"/>
              </w:rPr>
              <w:t>Paramètre</w:t>
            </w:r>
          </w:p>
        </w:tc>
        <w:tc>
          <w:tcPr>
            <w:tcW w:w="4623" w:type="dxa"/>
          </w:tcPr>
          <w:p w14:paraId="78DDD22B" w14:textId="77777777" w:rsidR="004D674B" w:rsidRPr="00B31B94" w:rsidRDefault="004D674B" w:rsidP="00163EEA">
            <w:pPr>
              <w:pStyle w:val="NoSpacing"/>
              <w:rPr>
                <w:sz w:val="20"/>
              </w:rPr>
            </w:pPr>
            <w:r w:rsidRPr="00B31B94">
              <w:rPr>
                <w:sz w:val="20"/>
              </w:rPr>
              <w:t>Efficacité</w:t>
            </w:r>
          </w:p>
        </w:tc>
      </w:tr>
      <w:tr w:rsidR="00EB0679" w:rsidRPr="00B31B94" w14:paraId="7A169D4D" w14:textId="77777777" w:rsidTr="00B50565">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2BEE82B5" w14:textId="77777777" w:rsidR="004D674B" w:rsidRPr="00B31B94" w:rsidRDefault="004D674B" w:rsidP="00163EEA">
            <w:pPr>
              <w:pStyle w:val="NoSpacing"/>
              <w:rPr>
                <w:sz w:val="20"/>
              </w:rPr>
            </w:pPr>
            <w:r w:rsidRPr="00B31B94">
              <w:rPr>
                <w:sz w:val="20"/>
              </w:rPr>
              <w:t>Bactéries</w:t>
            </w:r>
          </w:p>
        </w:tc>
        <w:tc>
          <w:tcPr>
            <w:tcW w:w="4623" w:type="dxa"/>
          </w:tcPr>
          <w:p w14:paraId="78193517" w14:textId="103B85DC" w:rsidR="004D674B" w:rsidRPr="00B31B94" w:rsidRDefault="005F4ADC" w:rsidP="005F4ADC">
            <w:pPr>
              <w:pStyle w:val="NoSpacing"/>
              <w:rPr>
                <w:sz w:val="20"/>
              </w:rPr>
            </w:pPr>
            <w:r w:rsidRPr="00B31B94">
              <w:rPr>
                <w:sz w:val="20"/>
              </w:rPr>
              <w:t>Moyennement efficace (&gt;80%)</w:t>
            </w:r>
          </w:p>
        </w:tc>
      </w:tr>
      <w:tr w:rsidR="00A31086" w:rsidRPr="00B31B94" w14:paraId="7DB10FA7" w14:textId="77777777" w:rsidTr="00CF622D">
        <w:trPr>
          <w:trHeight w:val="263"/>
        </w:trPr>
        <w:tc>
          <w:tcPr>
            <w:tcW w:w="0" w:type="auto"/>
          </w:tcPr>
          <w:p w14:paraId="626EA651" w14:textId="77777777" w:rsidR="00A31086" w:rsidRPr="00B31B94" w:rsidRDefault="00A31086" w:rsidP="00CF622D">
            <w:pPr>
              <w:pStyle w:val="NoSpacing"/>
              <w:rPr>
                <w:sz w:val="20"/>
              </w:rPr>
            </w:pPr>
            <w:r w:rsidRPr="00B31B94">
              <w:rPr>
                <w:sz w:val="20"/>
              </w:rPr>
              <w:t>Virus</w:t>
            </w:r>
          </w:p>
        </w:tc>
        <w:tc>
          <w:tcPr>
            <w:tcW w:w="4623" w:type="dxa"/>
          </w:tcPr>
          <w:p w14:paraId="49EF5588" w14:textId="77777777" w:rsidR="00A31086" w:rsidRPr="00B31B94" w:rsidRDefault="00A31086" w:rsidP="00CF622D">
            <w:pPr>
              <w:pStyle w:val="NoSpacing"/>
              <w:rPr>
                <w:sz w:val="20"/>
              </w:rPr>
            </w:pPr>
            <w:r w:rsidRPr="00B31B94">
              <w:rPr>
                <w:sz w:val="20"/>
              </w:rPr>
              <w:t>Pas d'analyses indépendantes</w:t>
            </w:r>
          </w:p>
        </w:tc>
      </w:tr>
      <w:tr w:rsidR="005D4B12" w:rsidRPr="00B31B94" w14:paraId="6C0D827E" w14:textId="77777777" w:rsidTr="00B50565">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138F48A7" w14:textId="66F4E172" w:rsidR="005D4B12" w:rsidRPr="00B31B94" w:rsidRDefault="005D4B12" w:rsidP="00163EEA">
            <w:pPr>
              <w:pStyle w:val="NoSpacing"/>
              <w:rPr>
                <w:sz w:val="20"/>
              </w:rPr>
            </w:pPr>
            <w:r w:rsidRPr="00B31B94">
              <w:rPr>
                <w:sz w:val="20"/>
              </w:rPr>
              <w:t>Protozoaires</w:t>
            </w:r>
          </w:p>
        </w:tc>
        <w:tc>
          <w:tcPr>
            <w:tcW w:w="4623" w:type="dxa"/>
          </w:tcPr>
          <w:p w14:paraId="7AE2DB8C" w14:textId="601266A6" w:rsidR="005D4B12" w:rsidRPr="00B31B94" w:rsidRDefault="005D4B12" w:rsidP="005F4ADC">
            <w:pPr>
              <w:pStyle w:val="NoSpacing"/>
              <w:rPr>
                <w:sz w:val="20"/>
              </w:rPr>
            </w:pPr>
            <w:r w:rsidRPr="00B31B94">
              <w:rPr>
                <w:sz w:val="20"/>
              </w:rPr>
              <w:t>Moyennement efficace*</w:t>
            </w:r>
          </w:p>
        </w:tc>
      </w:tr>
      <w:tr w:rsidR="007650E5" w:rsidRPr="00B31B94" w14:paraId="3C09B45C" w14:textId="77777777" w:rsidTr="00B50565">
        <w:trPr>
          <w:trHeight w:val="250"/>
        </w:trPr>
        <w:tc>
          <w:tcPr>
            <w:tcW w:w="0" w:type="auto"/>
          </w:tcPr>
          <w:p w14:paraId="5FD737A5" w14:textId="5E0D033B" w:rsidR="007650E5" w:rsidRPr="00B31B94" w:rsidRDefault="007650E5" w:rsidP="00163EEA">
            <w:pPr>
              <w:pStyle w:val="NoSpacing"/>
              <w:rPr>
                <w:sz w:val="20"/>
              </w:rPr>
            </w:pPr>
            <w:r w:rsidRPr="00B31B94">
              <w:rPr>
                <w:sz w:val="20"/>
              </w:rPr>
              <w:t>Helminthes</w:t>
            </w:r>
          </w:p>
        </w:tc>
        <w:tc>
          <w:tcPr>
            <w:tcW w:w="4623" w:type="dxa"/>
          </w:tcPr>
          <w:p w14:paraId="5E7EA841" w14:textId="5CF8FA6E" w:rsidR="007650E5" w:rsidRPr="00B31B94" w:rsidRDefault="007650E5" w:rsidP="005F4ADC">
            <w:pPr>
              <w:pStyle w:val="NoSpacing"/>
              <w:rPr>
                <w:sz w:val="20"/>
              </w:rPr>
            </w:pPr>
            <w:r w:rsidRPr="00B31B94">
              <w:rPr>
                <w:sz w:val="20"/>
              </w:rPr>
              <w:t>Moyennement efficace*</w:t>
            </w:r>
          </w:p>
        </w:tc>
      </w:tr>
    </w:tbl>
    <w:p w14:paraId="6017CCF1" w14:textId="77777777" w:rsidR="0045655D" w:rsidRPr="00B31B94" w:rsidRDefault="005D4B12" w:rsidP="0045655D">
      <w:pPr>
        <w:pStyle w:val="Caption"/>
      </w:pPr>
      <w:r w:rsidRPr="00B31B94">
        <w:t>*Supposition basée sur des données concernant la décantation naturelle</w:t>
      </w:r>
    </w:p>
    <w:p w14:paraId="35D1EA4B" w14:textId="45CE6D74" w:rsidR="0045655D" w:rsidRPr="00B31B94" w:rsidRDefault="0045655D" w:rsidP="0045655D">
      <w:pPr>
        <w:pStyle w:val="Heading2"/>
        <w:sectPr w:rsidR="0045655D" w:rsidRPr="00B31B94" w:rsidSect="00B50565">
          <w:headerReference w:type="default" r:id="rId9"/>
          <w:footerReference w:type="even" r:id="rId10"/>
          <w:footerReference w:type="default" r:id="rId11"/>
          <w:headerReference w:type="first" r:id="rId12"/>
          <w:pgSz w:w="11900" w:h="16840" w:code="9"/>
          <w:pgMar w:top="720" w:right="720" w:bottom="720" w:left="720" w:header="737" w:footer="737" w:gutter="0"/>
          <w:pgNumType w:start="0"/>
          <w:cols w:space="708"/>
          <w:docGrid w:linePitch="360"/>
        </w:sectPr>
      </w:pPr>
    </w:p>
    <w:p w14:paraId="0207B695" w14:textId="2340E41A" w:rsidR="003125F4" w:rsidRPr="00B31B94" w:rsidRDefault="0045655D" w:rsidP="0045655D">
      <w:pPr>
        <w:pStyle w:val="Heading2"/>
      </w:pPr>
      <w:r w:rsidRPr="00B31B94">
        <w:t>Autres paramètres</w:t>
      </w:r>
    </w:p>
    <w:p w14:paraId="7CF42C0C" w14:textId="35FC5380" w:rsidR="00AE29FC" w:rsidRPr="00B31B94" w:rsidRDefault="007650E5" w:rsidP="003125F4">
      <w:r w:rsidRPr="00B31B94">
        <w:t>Moyennement efficace pour retirer la turbidité et la couleur.</w:t>
      </w:r>
    </w:p>
    <w:p w14:paraId="3E4AB1DC" w14:textId="77777777" w:rsidR="003125F4" w:rsidRPr="00B31B94" w:rsidRDefault="00A53254" w:rsidP="003125F4">
      <w:pPr>
        <w:pStyle w:val="Heading2"/>
      </w:pPr>
      <w:r w:rsidRPr="00B31B94">
        <w:t>Exigences concernant l'eau à traiter</w:t>
      </w:r>
    </w:p>
    <w:p w14:paraId="52962C3F" w14:textId="0CD21E4B" w:rsidR="008C6462" w:rsidRPr="00B31B94" w:rsidRDefault="00AD6C41" w:rsidP="003125F4">
      <w:r w:rsidRPr="00B31B94">
        <w:t>Pas de limites précises.</w:t>
      </w:r>
    </w:p>
    <w:p w14:paraId="662C593B" w14:textId="77777777" w:rsidR="003125F4" w:rsidRPr="00B31B94" w:rsidRDefault="008C6462" w:rsidP="003125F4">
      <w:pPr>
        <w:pStyle w:val="Heading2"/>
      </w:pPr>
      <w:r w:rsidRPr="00B31B94">
        <w:t>Capacité</w:t>
      </w:r>
    </w:p>
    <w:p w14:paraId="4E681F4C" w14:textId="6028E600" w:rsidR="008C6462" w:rsidRPr="00B31B94" w:rsidRDefault="00B50565" w:rsidP="003125F4">
      <w:r w:rsidRPr="00B31B94">
        <w:t>Variable selon la taille du récipient et les instructions du fabricant.</w:t>
      </w:r>
    </w:p>
    <w:p w14:paraId="0B8591E9" w14:textId="77777777" w:rsidR="003125F4" w:rsidRPr="00B31B94" w:rsidRDefault="008C6462" w:rsidP="003125F4">
      <w:pPr>
        <w:pStyle w:val="Heading2"/>
      </w:pPr>
      <w:r w:rsidRPr="00B31B94">
        <w:t>Durée de vie</w:t>
      </w:r>
    </w:p>
    <w:p w14:paraId="1E3B4F52" w14:textId="593E2D46" w:rsidR="008C6462" w:rsidRPr="00B31B94" w:rsidRDefault="007650E5" w:rsidP="003125F4">
      <w:r w:rsidRPr="00B31B94">
        <w:t xml:space="preserve">Variable ; les produits chimiques ont typiquement une durée de vie de six mois à un an. </w:t>
      </w:r>
    </w:p>
    <w:p w14:paraId="645EAEB0" w14:textId="77777777" w:rsidR="00FC0B37" w:rsidRPr="00B31B94" w:rsidRDefault="00FC0B37" w:rsidP="00B9649E">
      <w:pPr>
        <w:pStyle w:val="Heading1"/>
      </w:pPr>
      <w:r w:rsidRPr="00B31B94">
        <w:t>Facilité d'utilisation et acceptabilité</w:t>
      </w:r>
    </w:p>
    <w:p w14:paraId="1F609518" w14:textId="77777777" w:rsidR="003125F4" w:rsidRPr="00B31B94" w:rsidRDefault="003125F4" w:rsidP="003125F4">
      <w:pPr>
        <w:pStyle w:val="Heading2"/>
      </w:pPr>
      <w:r w:rsidRPr="00B31B94">
        <w:t>Fonctionnement et entretien</w:t>
      </w:r>
    </w:p>
    <w:p w14:paraId="5744768F" w14:textId="415BCDDE" w:rsidR="00FC0B37" w:rsidRPr="00B31B94" w:rsidRDefault="00B9649E" w:rsidP="003125F4">
      <w:r w:rsidRPr="00B31B94">
        <w:t xml:space="preserve">Les utilisateurs versent une dose de coagulant dans l'eau suivant les recommandations du fournisseur. Ils remuent l'eau pendant quelques minutes puis laissent les particules s'agglomérer et se déposer. Les amas décantés sont retirés par filtration ou en versant l'eau délicatement. </w:t>
      </w:r>
    </w:p>
    <w:p w14:paraId="788538AB" w14:textId="77777777" w:rsidR="003125F4" w:rsidRPr="00B31B94" w:rsidRDefault="008C6462" w:rsidP="003125F4">
      <w:pPr>
        <w:pStyle w:val="Heading2"/>
      </w:pPr>
      <w:r w:rsidRPr="00B31B94">
        <w:t>Réparations et pièces de rechange</w:t>
      </w:r>
    </w:p>
    <w:p w14:paraId="29DBE777" w14:textId="79F585A7" w:rsidR="008C6462" w:rsidRPr="00B31B94" w:rsidRDefault="000A2A10" w:rsidP="003125F4">
      <w:r w:rsidRPr="00B31B94">
        <w:t>Les produits chimiques doivent être conservés dans un endroit sec et ont généralement une durée de vie de 6 à 12 mois. Ils doivent être remplacés régulièrement.</w:t>
      </w:r>
    </w:p>
    <w:p w14:paraId="744B9712" w14:textId="77777777" w:rsidR="003125F4" w:rsidRPr="00B31B94" w:rsidRDefault="008C6462" w:rsidP="003125F4">
      <w:pPr>
        <w:pStyle w:val="Heading2"/>
      </w:pPr>
      <w:r w:rsidRPr="00B31B94">
        <w:t>Préférences des utilisateurs</w:t>
      </w:r>
    </w:p>
    <w:p w14:paraId="63F54A6C" w14:textId="24D87F2F" w:rsidR="00B50565" w:rsidRPr="00B31B94" w:rsidRDefault="000A2A10" w:rsidP="00B50565">
      <w:r w:rsidRPr="00B31B94">
        <w:t xml:space="preserve">Le dosage est difficile à réaliser de manière optimale sans formation et équipement. L'utilisation de coagulants chimiques nécessite une chaîne d'approvisionnement continue. </w:t>
      </w:r>
    </w:p>
    <w:p w14:paraId="085D4389" w14:textId="5E6F03E5" w:rsidR="00FC0B37" w:rsidRPr="00B31B94" w:rsidRDefault="00FC0B37" w:rsidP="00B50565">
      <w:pPr>
        <w:pStyle w:val="Heading1"/>
      </w:pPr>
      <w:r w:rsidRPr="00B31B94">
        <w:t>Faisabilité</w:t>
      </w:r>
    </w:p>
    <w:p w14:paraId="7CF48594" w14:textId="77777777" w:rsidR="003125F4" w:rsidRPr="00B31B94" w:rsidRDefault="008C6462" w:rsidP="003125F4">
      <w:pPr>
        <w:pStyle w:val="Heading2"/>
      </w:pPr>
      <w:r w:rsidRPr="00B31B94">
        <w:t>Disponibilité</w:t>
      </w:r>
    </w:p>
    <w:p w14:paraId="4BB5826A" w14:textId="5B1546DC" w:rsidR="00FC0B37" w:rsidRPr="00B31B94" w:rsidRDefault="00AB1660" w:rsidP="003125F4">
      <w:r w:rsidRPr="00B31B94">
        <w:t>Il existe des producteurs de ces substances dans le monde entier. La plupart des produits chimiques sont difficiles et complexes à élaborer ; une fabrication locale à petite échelle n’est généralement pas faisable.</w:t>
      </w:r>
    </w:p>
    <w:p w14:paraId="0D58FBE5" w14:textId="77777777" w:rsidR="003125F4" w:rsidRPr="00B31B94" w:rsidRDefault="008C6462" w:rsidP="003125F4">
      <w:pPr>
        <w:pStyle w:val="Heading2"/>
      </w:pPr>
      <w:r w:rsidRPr="00B31B94">
        <w:t>Coût</w:t>
      </w:r>
    </w:p>
    <w:p w14:paraId="29C43C6F" w14:textId="123ED828" w:rsidR="008C6462" w:rsidRPr="00B31B94" w:rsidRDefault="000A2A10" w:rsidP="003125F4">
      <w:r w:rsidRPr="00B31B94">
        <w:t>Variable</w:t>
      </w:r>
    </w:p>
    <w:p w14:paraId="684F49A9" w14:textId="5A4C550A" w:rsidR="003125F4" w:rsidRPr="00B31B94" w:rsidRDefault="008C6462" w:rsidP="003125F4">
      <w:pPr>
        <w:pStyle w:val="Heading2"/>
      </w:pPr>
      <w:r w:rsidRPr="00B31B94">
        <w:t>Taille et poids</w:t>
      </w:r>
    </w:p>
    <w:p w14:paraId="44C9C258" w14:textId="3E600CEE" w:rsidR="008C6462" w:rsidRPr="00B31B94" w:rsidRDefault="008C6F67" w:rsidP="003125F4">
      <w:r w:rsidRPr="00B31B94">
        <w:t>Les produits sont faciles à transporter et peuvent être achetés en petites quantités.</w:t>
      </w:r>
    </w:p>
    <w:p w14:paraId="3DE7F25E" w14:textId="77777777" w:rsidR="00AA1CCE" w:rsidRPr="00B31B94" w:rsidRDefault="00B9649E" w:rsidP="00B9649E">
      <w:pPr>
        <w:pStyle w:val="Heading1"/>
      </w:pPr>
      <w:r w:rsidRPr="00B31B94">
        <w:t>Pour plus d'informations</w:t>
      </w:r>
    </w:p>
    <w:p w14:paraId="54B3D65B" w14:textId="648F8628" w:rsidR="0045655D" w:rsidRPr="00B31B94" w:rsidRDefault="00A53164" w:rsidP="00B31B94">
      <w:pPr>
        <w:spacing w:after="0"/>
        <w:rPr>
          <w:color w:val="0BA3D4" w:themeColor="background2" w:themeShade="BF"/>
          <w:u w:val="single"/>
        </w:rPr>
        <w:sectPr w:rsidR="0045655D" w:rsidRPr="00B31B94" w:rsidSect="0045655D">
          <w:type w:val="continuous"/>
          <w:pgSz w:w="11900" w:h="16840" w:code="9"/>
          <w:pgMar w:top="720" w:right="720" w:bottom="720" w:left="720" w:header="737" w:footer="737" w:gutter="0"/>
          <w:pgNumType w:start="0"/>
          <w:cols w:num="2" w:space="708"/>
          <w:docGrid w:linePitch="360"/>
        </w:sectPr>
      </w:pPr>
      <w:r w:rsidRPr="00B31B94">
        <w:t xml:space="preserve">Détails et références : </w:t>
      </w:r>
      <w:hyperlink r:id="rId13" w:history="1">
        <w:r w:rsidRPr="00B31B94">
          <w:rPr>
            <w:rStyle w:val="Hyperlink"/>
          </w:rPr>
          <w:t>www.hwts.info/products-technologies/25154a7c/Chemical-Coagulants</w:t>
        </w:r>
      </w:hyperlink>
    </w:p>
    <w:p w14:paraId="35D47BE2" w14:textId="51160467" w:rsidR="00B50565" w:rsidRPr="00B31B94" w:rsidRDefault="00B50565" w:rsidP="00610634">
      <w:pPr>
        <w:rPr>
          <w:color w:val="0BA3D4" w:themeColor="background2" w:themeShade="BF"/>
          <w:u w:val="single"/>
        </w:rPr>
      </w:pPr>
    </w:p>
    <w:p w14:paraId="59A4376F" w14:textId="124D9561" w:rsidR="00EB0679" w:rsidRPr="00B31B94" w:rsidRDefault="00EB0679" w:rsidP="00B50565">
      <w:pPr>
        <w:pStyle w:val="Table-AfterParagraphInvisibility"/>
      </w:pPr>
    </w:p>
    <w:sectPr w:rsidR="00EB0679" w:rsidRPr="00B31B94" w:rsidSect="0045655D">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15B4" w14:textId="77777777" w:rsidR="00A72A9E" w:rsidRDefault="00A72A9E" w:rsidP="00510EBB">
      <w:r>
        <w:separator/>
      </w:r>
    </w:p>
  </w:endnote>
  <w:endnote w:type="continuationSeparator" w:id="0">
    <w:p w14:paraId="7FE7FCCF" w14:textId="77777777" w:rsidR="00A72A9E" w:rsidRDefault="00A72A9E"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6693"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E9DE50"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325470EC" w14:textId="77777777" w:rsidTr="00837C45">
      <w:trPr>
        <w:trHeight w:val="680"/>
      </w:trPr>
      <w:tc>
        <w:tcPr>
          <w:tcW w:w="8870" w:type="dxa"/>
          <w:gridSpan w:val="2"/>
          <w:tcMar>
            <w:top w:w="57" w:type="dxa"/>
          </w:tcMar>
          <w:vAlign w:val="center"/>
        </w:tcPr>
        <w:p w14:paraId="1D3AAF44" w14:textId="77777777" w:rsidR="00FE7F58" w:rsidRPr="00FE7F58" w:rsidRDefault="00FE7F58" w:rsidP="00FE7F58">
          <w:pPr>
            <w:pStyle w:val="NoSpacing-Table"/>
          </w:pPr>
          <w:r>
            <w:t xml:space="preserve">Le contenu de ce document est en libre accès et sous </w:t>
          </w:r>
          <w:hyperlink r:id="rId1" w:history="1">
            <w:r>
              <w:rPr>
                <w:rStyle w:val="Hyperlink"/>
              </w:rPr>
              <w:t>licence Creative Commons Attribution-ShareAlike 4.0 International License.</w:t>
            </w:r>
          </w:hyperlink>
          <w:r>
            <w:t>(CC BY-SA 4.0). Reportez-vous aux directives de CAWST pour la distribution, la traduction, l'adaptation ou le référencement des ressources de CAWST (</w:t>
          </w:r>
          <w:hyperlink r:id="rId2" w:history="1">
            <w:r>
              <w:rPr>
                <w:rStyle w:val="Hyperlink"/>
              </w:rPr>
              <w:t>resources.cawst.org/cc</w:t>
            </w:r>
          </w:hyperlink>
          <w:r>
            <w:t>).</w:t>
          </w:r>
        </w:p>
      </w:tc>
      <w:tc>
        <w:tcPr>
          <w:tcW w:w="1590" w:type="dxa"/>
          <w:tcMar>
            <w:top w:w="57" w:type="dxa"/>
          </w:tcMar>
          <w:vAlign w:val="center"/>
        </w:tcPr>
        <w:p w14:paraId="6F6289FC" w14:textId="77777777" w:rsidR="00FE7F58" w:rsidRPr="00FE7F58" w:rsidRDefault="00FE7F58" w:rsidP="00FE7F58">
          <w:pPr>
            <w:pStyle w:val="NoSpacing-Table"/>
            <w:jc w:val="right"/>
          </w:pPr>
          <w:r w:rsidRPr="00535AB5">
            <w:rPr>
              <w:noProof/>
            </w:rPr>
            <w:drawing>
              <wp:inline distT="0" distB="0" distL="0" distR="0" wp14:anchorId="33785152" wp14:editId="29D4955A">
                <wp:extent cx="840105" cy="297815"/>
                <wp:effectExtent l="0" t="0" r="0" b="6985"/>
                <wp:docPr id="9" name="Picture 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6864B0C2" w14:textId="77777777" w:rsidTr="00837C45">
      <w:trPr>
        <w:trHeight w:val="680"/>
      </w:trPr>
      <w:tc>
        <w:tcPr>
          <w:tcW w:w="1902" w:type="dxa"/>
          <w:vAlign w:val="bottom"/>
        </w:tcPr>
        <w:p w14:paraId="6C7CE89F" w14:textId="77777777" w:rsidR="00FE7F58" w:rsidRDefault="00FE7F58" w:rsidP="007A328F">
          <w:pPr>
            <w:pStyle w:val="Footer"/>
            <w:jc w:val="left"/>
          </w:pPr>
          <w:r>
            <w:rPr>
              <w:noProof/>
            </w:rPr>
            <w:drawing>
              <wp:inline distT="0" distB="0" distL="0" distR="0" wp14:anchorId="5B725A03" wp14:editId="4CF40765">
                <wp:extent cx="960707" cy="326571"/>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0EF50244" w14:textId="77777777" w:rsidR="00FE7F58" w:rsidRPr="007A328F" w:rsidRDefault="00FE7F58" w:rsidP="007A328F">
          <w:pPr>
            <w:pStyle w:val="Footer"/>
          </w:pPr>
          <w:r>
            <w:t xml:space="preserve">Calgary, Canada | </w:t>
          </w:r>
          <w:hyperlink r:id="rId6" w:history="1">
            <w:r>
              <w:rPr>
                <w:rStyle w:val="Hyperlink"/>
              </w:rPr>
              <w:t>resources.cawst.org</w:t>
            </w:r>
          </w:hyperlink>
          <w:r>
            <w:t xml:space="preserve"> | </w:t>
          </w:r>
          <w:hyperlink r:id="rId7" w:history="1">
            <w:r>
              <w:rPr>
                <w:rStyle w:val="Hyperlink"/>
              </w:rPr>
              <w:t>support@cawst.org</w:t>
            </w:r>
          </w:hyperlink>
        </w:p>
      </w:tc>
    </w:tr>
  </w:tbl>
  <w:p w14:paraId="79DDFC4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EC03" w14:textId="77777777" w:rsidR="00A72A9E" w:rsidRDefault="00A72A9E" w:rsidP="00510EBB">
      <w:r>
        <w:separator/>
      </w:r>
    </w:p>
  </w:footnote>
  <w:footnote w:type="continuationSeparator" w:id="0">
    <w:p w14:paraId="690262FC" w14:textId="77777777" w:rsidR="00A72A9E" w:rsidRDefault="00A72A9E"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ADD0" w14:textId="11B56911" w:rsidR="000B537F" w:rsidRPr="000E42D2" w:rsidRDefault="000E42D2" w:rsidP="000E42D2">
    <w:pPr>
      <w:pStyle w:val="Header"/>
    </w:pPr>
    <w:r>
      <w:t>Fiche technique sur la conservation et le traitement de l’eau à domicile | Dernière mise à jour : février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4DC" w14:textId="77777777" w:rsidR="00FC0B37" w:rsidRPr="00FC0B37" w:rsidRDefault="00FC0B37" w:rsidP="00FC0B37">
    <w:pPr>
      <w:pStyle w:val="Header"/>
    </w:pPr>
    <w:r>
      <w:t>Présentation des technologies de conservation et traitement de l'eau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0"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6A"/>
    <w:rsid w:val="00001F77"/>
    <w:rsid w:val="0000349D"/>
    <w:rsid w:val="0000632D"/>
    <w:rsid w:val="000250E0"/>
    <w:rsid w:val="00034265"/>
    <w:rsid w:val="00086E6B"/>
    <w:rsid w:val="00090EF5"/>
    <w:rsid w:val="00092967"/>
    <w:rsid w:val="000A2A10"/>
    <w:rsid w:val="000B33C2"/>
    <w:rsid w:val="000B36AE"/>
    <w:rsid w:val="000B537F"/>
    <w:rsid w:val="000C4E47"/>
    <w:rsid w:val="000E42D2"/>
    <w:rsid w:val="000F79D9"/>
    <w:rsid w:val="001106B5"/>
    <w:rsid w:val="00120ED8"/>
    <w:rsid w:val="00121E61"/>
    <w:rsid w:val="00122376"/>
    <w:rsid w:val="0012462F"/>
    <w:rsid w:val="00126AA8"/>
    <w:rsid w:val="001348A7"/>
    <w:rsid w:val="001432FE"/>
    <w:rsid w:val="001625DE"/>
    <w:rsid w:val="00163EEA"/>
    <w:rsid w:val="00166D7F"/>
    <w:rsid w:val="001759D6"/>
    <w:rsid w:val="001B15DC"/>
    <w:rsid w:val="001C4A07"/>
    <w:rsid w:val="001C7495"/>
    <w:rsid w:val="001D3FAF"/>
    <w:rsid w:val="001D449C"/>
    <w:rsid w:val="001E0441"/>
    <w:rsid w:val="001E6E31"/>
    <w:rsid w:val="001F09BD"/>
    <w:rsid w:val="00212BDB"/>
    <w:rsid w:val="00226E08"/>
    <w:rsid w:val="00235C6C"/>
    <w:rsid w:val="00236D2F"/>
    <w:rsid w:val="00250F82"/>
    <w:rsid w:val="00251E3C"/>
    <w:rsid w:val="00252508"/>
    <w:rsid w:val="002605EA"/>
    <w:rsid w:val="002607FF"/>
    <w:rsid w:val="00261923"/>
    <w:rsid w:val="00270EFC"/>
    <w:rsid w:val="00280E15"/>
    <w:rsid w:val="00281503"/>
    <w:rsid w:val="00285CB6"/>
    <w:rsid w:val="002947C7"/>
    <w:rsid w:val="002A3BA4"/>
    <w:rsid w:val="002B1538"/>
    <w:rsid w:val="002B34D5"/>
    <w:rsid w:val="002D6DC8"/>
    <w:rsid w:val="002E27F8"/>
    <w:rsid w:val="002E39FF"/>
    <w:rsid w:val="002F0588"/>
    <w:rsid w:val="002F18C6"/>
    <w:rsid w:val="002F562E"/>
    <w:rsid w:val="003125F4"/>
    <w:rsid w:val="0032798F"/>
    <w:rsid w:val="003361F6"/>
    <w:rsid w:val="00336873"/>
    <w:rsid w:val="00340EEC"/>
    <w:rsid w:val="00343453"/>
    <w:rsid w:val="00345C5E"/>
    <w:rsid w:val="003471BA"/>
    <w:rsid w:val="00353B84"/>
    <w:rsid w:val="003634A1"/>
    <w:rsid w:val="00376F79"/>
    <w:rsid w:val="003858E9"/>
    <w:rsid w:val="003947A0"/>
    <w:rsid w:val="003B0DAD"/>
    <w:rsid w:val="003C1855"/>
    <w:rsid w:val="003C3972"/>
    <w:rsid w:val="003C4AD3"/>
    <w:rsid w:val="003D5414"/>
    <w:rsid w:val="003E2A3A"/>
    <w:rsid w:val="003E57B8"/>
    <w:rsid w:val="004132B1"/>
    <w:rsid w:val="00423C81"/>
    <w:rsid w:val="00453773"/>
    <w:rsid w:val="0045655D"/>
    <w:rsid w:val="004611E4"/>
    <w:rsid w:val="00470D60"/>
    <w:rsid w:val="004872B2"/>
    <w:rsid w:val="0049451E"/>
    <w:rsid w:val="004B1945"/>
    <w:rsid w:val="004B50D8"/>
    <w:rsid w:val="004C3429"/>
    <w:rsid w:val="004D4508"/>
    <w:rsid w:val="004D674B"/>
    <w:rsid w:val="00510EBB"/>
    <w:rsid w:val="00521C57"/>
    <w:rsid w:val="00523F7A"/>
    <w:rsid w:val="00533BA4"/>
    <w:rsid w:val="00534CA9"/>
    <w:rsid w:val="00535AB5"/>
    <w:rsid w:val="005477F0"/>
    <w:rsid w:val="00574499"/>
    <w:rsid w:val="00581299"/>
    <w:rsid w:val="005826C0"/>
    <w:rsid w:val="005921AD"/>
    <w:rsid w:val="005960CC"/>
    <w:rsid w:val="005A3D65"/>
    <w:rsid w:val="005A4AA7"/>
    <w:rsid w:val="005B2FBC"/>
    <w:rsid w:val="005C51E3"/>
    <w:rsid w:val="005C659E"/>
    <w:rsid w:val="005D4B12"/>
    <w:rsid w:val="005E26C3"/>
    <w:rsid w:val="005E6FA5"/>
    <w:rsid w:val="005F2A04"/>
    <w:rsid w:val="005F4ADC"/>
    <w:rsid w:val="005F62FB"/>
    <w:rsid w:val="006034E6"/>
    <w:rsid w:val="00605FB9"/>
    <w:rsid w:val="00610634"/>
    <w:rsid w:val="00616773"/>
    <w:rsid w:val="00623D4E"/>
    <w:rsid w:val="006246DB"/>
    <w:rsid w:val="00630811"/>
    <w:rsid w:val="006320FF"/>
    <w:rsid w:val="00637110"/>
    <w:rsid w:val="00644466"/>
    <w:rsid w:val="00644996"/>
    <w:rsid w:val="00645316"/>
    <w:rsid w:val="00656B8D"/>
    <w:rsid w:val="00667A79"/>
    <w:rsid w:val="00691E08"/>
    <w:rsid w:val="00695694"/>
    <w:rsid w:val="006C3B27"/>
    <w:rsid w:val="006D24D4"/>
    <w:rsid w:val="006E5A14"/>
    <w:rsid w:val="007031BD"/>
    <w:rsid w:val="00706A88"/>
    <w:rsid w:val="0071380E"/>
    <w:rsid w:val="007650E5"/>
    <w:rsid w:val="0077622C"/>
    <w:rsid w:val="00776AF2"/>
    <w:rsid w:val="00780E43"/>
    <w:rsid w:val="0078219E"/>
    <w:rsid w:val="007A328F"/>
    <w:rsid w:val="007B7124"/>
    <w:rsid w:val="007C12F3"/>
    <w:rsid w:val="007C1FDD"/>
    <w:rsid w:val="007C3581"/>
    <w:rsid w:val="007C3BBE"/>
    <w:rsid w:val="007C7A83"/>
    <w:rsid w:val="007D69A5"/>
    <w:rsid w:val="008029BD"/>
    <w:rsid w:val="00825E09"/>
    <w:rsid w:val="00827624"/>
    <w:rsid w:val="00837C45"/>
    <w:rsid w:val="00850240"/>
    <w:rsid w:val="008575A6"/>
    <w:rsid w:val="00865422"/>
    <w:rsid w:val="008838D5"/>
    <w:rsid w:val="008844F3"/>
    <w:rsid w:val="008850B2"/>
    <w:rsid w:val="00886D88"/>
    <w:rsid w:val="008A7998"/>
    <w:rsid w:val="008B221E"/>
    <w:rsid w:val="008C0621"/>
    <w:rsid w:val="008C6462"/>
    <w:rsid w:val="008C6DB3"/>
    <w:rsid w:val="008C6F67"/>
    <w:rsid w:val="008F0AEE"/>
    <w:rsid w:val="008F6FCB"/>
    <w:rsid w:val="0091776C"/>
    <w:rsid w:val="0093385B"/>
    <w:rsid w:val="009355DE"/>
    <w:rsid w:val="00953408"/>
    <w:rsid w:val="0096430D"/>
    <w:rsid w:val="009905F7"/>
    <w:rsid w:val="009A53AD"/>
    <w:rsid w:val="009B0821"/>
    <w:rsid w:val="009C4189"/>
    <w:rsid w:val="009C458F"/>
    <w:rsid w:val="009D452E"/>
    <w:rsid w:val="009D6BEC"/>
    <w:rsid w:val="009E32CF"/>
    <w:rsid w:val="009E6172"/>
    <w:rsid w:val="009E6447"/>
    <w:rsid w:val="00A07F44"/>
    <w:rsid w:val="00A31086"/>
    <w:rsid w:val="00A31582"/>
    <w:rsid w:val="00A3549E"/>
    <w:rsid w:val="00A4205E"/>
    <w:rsid w:val="00A44AD4"/>
    <w:rsid w:val="00A45B29"/>
    <w:rsid w:val="00A53164"/>
    <w:rsid w:val="00A53254"/>
    <w:rsid w:val="00A71226"/>
    <w:rsid w:val="00A72A9E"/>
    <w:rsid w:val="00A87D89"/>
    <w:rsid w:val="00A937B9"/>
    <w:rsid w:val="00AA1CCE"/>
    <w:rsid w:val="00AB1660"/>
    <w:rsid w:val="00AB2AE8"/>
    <w:rsid w:val="00AB2D37"/>
    <w:rsid w:val="00AC2412"/>
    <w:rsid w:val="00AD6C41"/>
    <w:rsid w:val="00AE29FC"/>
    <w:rsid w:val="00AF7DA7"/>
    <w:rsid w:val="00B2197D"/>
    <w:rsid w:val="00B222BA"/>
    <w:rsid w:val="00B25AEF"/>
    <w:rsid w:val="00B31B94"/>
    <w:rsid w:val="00B365C1"/>
    <w:rsid w:val="00B50565"/>
    <w:rsid w:val="00B82B38"/>
    <w:rsid w:val="00B842B1"/>
    <w:rsid w:val="00B84753"/>
    <w:rsid w:val="00B9083E"/>
    <w:rsid w:val="00B9649E"/>
    <w:rsid w:val="00BA02BC"/>
    <w:rsid w:val="00BA0EAB"/>
    <w:rsid w:val="00BA330B"/>
    <w:rsid w:val="00BC7ABA"/>
    <w:rsid w:val="00C01012"/>
    <w:rsid w:val="00C03318"/>
    <w:rsid w:val="00C27860"/>
    <w:rsid w:val="00C601D0"/>
    <w:rsid w:val="00C77462"/>
    <w:rsid w:val="00C82D85"/>
    <w:rsid w:val="00C8636A"/>
    <w:rsid w:val="00C915D7"/>
    <w:rsid w:val="00CD413B"/>
    <w:rsid w:val="00CD6078"/>
    <w:rsid w:val="00CE67A3"/>
    <w:rsid w:val="00CF68E8"/>
    <w:rsid w:val="00D01E85"/>
    <w:rsid w:val="00D041AD"/>
    <w:rsid w:val="00D05C8D"/>
    <w:rsid w:val="00D103DA"/>
    <w:rsid w:val="00D1044B"/>
    <w:rsid w:val="00D12CE0"/>
    <w:rsid w:val="00D338CE"/>
    <w:rsid w:val="00D40A5D"/>
    <w:rsid w:val="00D437DB"/>
    <w:rsid w:val="00D55F50"/>
    <w:rsid w:val="00D73382"/>
    <w:rsid w:val="00D84377"/>
    <w:rsid w:val="00D85ECD"/>
    <w:rsid w:val="00D92BD0"/>
    <w:rsid w:val="00D96165"/>
    <w:rsid w:val="00DA0006"/>
    <w:rsid w:val="00DC6216"/>
    <w:rsid w:val="00DE2D96"/>
    <w:rsid w:val="00DF45CF"/>
    <w:rsid w:val="00E05780"/>
    <w:rsid w:val="00E21494"/>
    <w:rsid w:val="00E320D2"/>
    <w:rsid w:val="00E32FA7"/>
    <w:rsid w:val="00E400D5"/>
    <w:rsid w:val="00E54B55"/>
    <w:rsid w:val="00E5602B"/>
    <w:rsid w:val="00E81B98"/>
    <w:rsid w:val="00E94755"/>
    <w:rsid w:val="00EA1320"/>
    <w:rsid w:val="00EA1DE2"/>
    <w:rsid w:val="00EA3F36"/>
    <w:rsid w:val="00EB032A"/>
    <w:rsid w:val="00EB0679"/>
    <w:rsid w:val="00EB1D4D"/>
    <w:rsid w:val="00EC6060"/>
    <w:rsid w:val="00EE3AAB"/>
    <w:rsid w:val="00EE44ED"/>
    <w:rsid w:val="00EE77C9"/>
    <w:rsid w:val="00EF1932"/>
    <w:rsid w:val="00EF28BF"/>
    <w:rsid w:val="00F14F8B"/>
    <w:rsid w:val="00F204FF"/>
    <w:rsid w:val="00F33D12"/>
    <w:rsid w:val="00F33DDE"/>
    <w:rsid w:val="00F35215"/>
    <w:rsid w:val="00F71475"/>
    <w:rsid w:val="00F7354A"/>
    <w:rsid w:val="00F9080F"/>
    <w:rsid w:val="00F93C72"/>
    <w:rsid w:val="00F979DE"/>
    <w:rsid w:val="00FC0B37"/>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442962"/>
  <w14:defaultImageDpi w14:val="330"/>
  <w15:docId w15:val="{5CFD96E1-19C2-49F3-AC63-F0BC3EC4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fr-F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fr-F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www.hwts.info/products-technologies/25154a7c/Chemical-Coagul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2C2E-AAF6-4F03-9A53-0E9913AE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Template>
  <TotalTime>15</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6</cp:revision>
  <cp:lastPrinted>2017-03-01T20:59:00Z</cp:lastPrinted>
  <dcterms:created xsi:type="dcterms:W3CDTF">2018-02-21T20:36:00Z</dcterms:created>
  <dcterms:modified xsi:type="dcterms:W3CDTF">2018-05-12T01:04:00Z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