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882" w:rsidRDefault="001B2882" w:rsidP="003F3E13">
      <w:pPr>
        <w:ind w:left="7080" w:firstLine="708"/>
        <w:jc w:val="both"/>
        <w:rPr>
          <w:b/>
          <w:sz w:val="28"/>
          <w:szCs w:val="28"/>
          <w:u w:val="single"/>
        </w:rPr>
      </w:pPr>
    </w:p>
    <w:p w:rsidR="00CB3ED0" w:rsidRPr="00A84BEE" w:rsidRDefault="00FC6553" w:rsidP="003F3E13">
      <w:pPr>
        <w:jc w:val="center"/>
        <w:rPr>
          <w:b/>
          <w:color w:val="000000" w:themeColor="text1"/>
          <w:sz w:val="28"/>
          <w:szCs w:val="28"/>
          <w:u w:val="single"/>
        </w:rPr>
      </w:pPr>
      <w:r w:rsidRPr="0024141E">
        <w:rPr>
          <w:b/>
          <w:sz w:val="28"/>
          <w:szCs w:val="28"/>
          <w:u w:val="single"/>
        </w:rPr>
        <w:t>Conditions générales d’achat</w:t>
      </w:r>
      <w:r w:rsidR="005A57FC" w:rsidRPr="0024141E">
        <w:rPr>
          <w:b/>
          <w:sz w:val="28"/>
          <w:szCs w:val="28"/>
          <w:u w:val="single"/>
        </w:rPr>
        <w:t xml:space="preserve"> de Biens et/ou Services</w:t>
      </w:r>
    </w:p>
    <w:p w:rsidR="003B3BC1" w:rsidRPr="00A84BEE" w:rsidRDefault="003B3BC1" w:rsidP="003F3E13">
      <w:pPr>
        <w:jc w:val="both"/>
        <w:rPr>
          <w:color w:val="000000" w:themeColor="text1"/>
          <w:sz w:val="28"/>
          <w:szCs w:val="28"/>
          <w:u w:val="single"/>
        </w:rPr>
      </w:pPr>
    </w:p>
    <w:p w:rsidR="00F4553A" w:rsidRPr="00A84BEE" w:rsidRDefault="00F4553A" w:rsidP="003F3E13">
      <w:pPr>
        <w:jc w:val="both"/>
        <w:rPr>
          <w:color w:val="000000" w:themeColor="text1"/>
          <w:sz w:val="28"/>
          <w:szCs w:val="28"/>
          <w:u w:val="single"/>
        </w:rPr>
      </w:pPr>
    </w:p>
    <w:p w:rsidR="003B3BC1" w:rsidRPr="00A84BEE" w:rsidRDefault="003B3BC1" w:rsidP="003F3E13">
      <w:pPr>
        <w:jc w:val="both"/>
        <w:rPr>
          <w:color w:val="000000" w:themeColor="text1"/>
          <w:sz w:val="28"/>
          <w:szCs w:val="28"/>
          <w:u w:val="single"/>
        </w:rPr>
      </w:pPr>
      <w:r w:rsidRPr="00A84BEE">
        <w:rPr>
          <w:color w:val="000000" w:themeColor="text1"/>
          <w:sz w:val="28"/>
          <w:szCs w:val="28"/>
          <w:u w:val="single"/>
        </w:rPr>
        <w:t>Table des matières</w:t>
      </w:r>
    </w:p>
    <w:p w:rsidR="00EE4296" w:rsidRPr="00A84BEE" w:rsidRDefault="00E203D0">
      <w:pPr>
        <w:pStyle w:val="TM1"/>
        <w:tabs>
          <w:tab w:val="left" w:pos="440"/>
          <w:tab w:val="right" w:leader="dot" w:pos="10536"/>
        </w:tabs>
        <w:rPr>
          <w:rFonts w:eastAsiaTheme="minorEastAsia"/>
          <w:noProof/>
          <w:color w:val="000000" w:themeColor="text1"/>
          <w:lang w:eastAsia="fr-CH"/>
        </w:rPr>
      </w:pPr>
      <w:r w:rsidRPr="00A84BEE">
        <w:rPr>
          <w:color w:val="000000" w:themeColor="text1"/>
        </w:rPr>
        <w:fldChar w:fldCharType="begin"/>
      </w:r>
      <w:r w:rsidRPr="00A84BEE">
        <w:rPr>
          <w:color w:val="000000" w:themeColor="text1"/>
        </w:rPr>
        <w:instrText xml:space="preserve"> TOC \h \z \t "Conditions achats;1" </w:instrText>
      </w:r>
      <w:r w:rsidRPr="00A84BEE">
        <w:rPr>
          <w:color w:val="000000" w:themeColor="text1"/>
        </w:rPr>
        <w:fldChar w:fldCharType="separate"/>
      </w:r>
      <w:hyperlink w:anchor="_Toc399246818" w:history="1">
        <w:r w:rsidR="00EE4296" w:rsidRPr="00A84BEE">
          <w:rPr>
            <w:rStyle w:val="Lienhypertexte"/>
            <w:noProof/>
            <w:color w:val="000000" w:themeColor="text1"/>
          </w:rPr>
          <w:t>1.</w:t>
        </w:r>
        <w:r w:rsidR="00EE4296" w:rsidRPr="00A84BEE">
          <w:rPr>
            <w:rFonts w:eastAsiaTheme="minorEastAsia"/>
            <w:noProof/>
            <w:color w:val="000000" w:themeColor="text1"/>
            <w:lang w:eastAsia="fr-CH"/>
          </w:rPr>
          <w:tab/>
        </w:r>
        <w:r w:rsidR="00EE4296" w:rsidRPr="00A84BEE">
          <w:rPr>
            <w:rStyle w:val="Lienhypertexte"/>
            <w:noProof/>
            <w:color w:val="000000" w:themeColor="text1"/>
          </w:rPr>
          <w:t>Champ d’application</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_Toc399246818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2</w:t>
        </w:r>
        <w:r w:rsidR="00EE4296" w:rsidRPr="00A84BEE">
          <w:rPr>
            <w:noProof/>
            <w:webHidden/>
            <w:color w:val="000000" w:themeColor="text1"/>
          </w:rPr>
          <w:fldChar w:fldCharType="end"/>
        </w:r>
      </w:hyperlink>
    </w:p>
    <w:p w:rsidR="00EE4296" w:rsidRPr="00A84BEE" w:rsidRDefault="002E700A">
      <w:pPr>
        <w:pStyle w:val="TM1"/>
        <w:tabs>
          <w:tab w:val="left" w:pos="440"/>
          <w:tab w:val="right" w:leader="dot" w:pos="10536"/>
        </w:tabs>
        <w:rPr>
          <w:rFonts w:eastAsiaTheme="minorEastAsia"/>
          <w:noProof/>
          <w:color w:val="000000" w:themeColor="text1"/>
          <w:lang w:eastAsia="fr-CH"/>
        </w:rPr>
      </w:pPr>
      <w:hyperlink w:anchor="_Toc399246819" w:history="1">
        <w:r w:rsidR="00EE4296" w:rsidRPr="00A84BEE">
          <w:rPr>
            <w:rStyle w:val="Lienhypertexte"/>
            <w:noProof/>
            <w:color w:val="000000" w:themeColor="text1"/>
          </w:rPr>
          <w:t>2.</w:t>
        </w:r>
        <w:r w:rsidR="00EE4296" w:rsidRPr="00A84BEE">
          <w:rPr>
            <w:rFonts w:eastAsiaTheme="minorEastAsia"/>
            <w:noProof/>
            <w:color w:val="000000" w:themeColor="text1"/>
            <w:lang w:eastAsia="fr-CH"/>
          </w:rPr>
          <w:tab/>
        </w:r>
        <w:r w:rsidR="00EE4296" w:rsidRPr="00A84BEE">
          <w:rPr>
            <w:rStyle w:val="Lienhypertexte"/>
            <w:noProof/>
            <w:color w:val="000000" w:themeColor="text1"/>
          </w:rPr>
          <w:t>Commandes et contrats cadres</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_Toc399246819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2</w:t>
        </w:r>
        <w:r w:rsidR="00EE4296" w:rsidRPr="00A84BEE">
          <w:rPr>
            <w:noProof/>
            <w:webHidden/>
            <w:color w:val="000000" w:themeColor="text1"/>
          </w:rPr>
          <w:fldChar w:fldCharType="end"/>
        </w:r>
      </w:hyperlink>
    </w:p>
    <w:p w:rsidR="00EE4296" w:rsidRPr="00A84BEE" w:rsidRDefault="002E700A">
      <w:pPr>
        <w:pStyle w:val="TM1"/>
        <w:tabs>
          <w:tab w:val="left" w:pos="440"/>
          <w:tab w:val="right" w:leader="dot" w:pos="10536"/>
        </w:tabs>
        <w:rPr>
          <w:rFonts w:eastAsiaTheme="minorEastAsia"/>
          <w:noProof/>
          <w:color w:val="000000" w:themeColor="text1"/>
          <w:lang w:eastAsia="fr-CH"/>
        </w:rPr>
      </w:pPr>
      <w:hyperlink w:anchor="_Toc399246820" w:history="1">
        <w:r w:rsidR="00EE4296" w:rsidRPr="00A84BEE">
          <w:rPr>
            <w:rStyle w:val="Lienhypertexte"/>
            <w:noProof/>
            <w:color w:val="000000" w:themeColor="text1"/>
          </w:rPr>
          <w:t>3.</w:t>
        </w:r>
        <w:r w:rsidR="00EE4296" w:rsidRPr="00A84BEE">
          <w:rPr>
            <w:rFonts w:eastAsiaTheme="minorEastAsia"/>
            <w:noProof/>
            <w:color w:val="000000" w:themeColor="text1"/>
            <w:lang w:eastAsia="fr-CH"/>
          </w:rPr>
          <w:tab/>
        </w:r>
        <w:r w:rsidR="00EE4296" w:rsidRPr="00A84BEE">
          <w:rPr>
            <w:rStyle w:val="Lienhypertexte"/>
            <w:noProof/>
            <w:color w:val="000000" w:themeColor="text1"/>
          </w:rPr>
          <w:t>Confirmation de commande</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_Toc399246820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2</w:t>
        </w:r>
        <w:r w:rsidR="00EE4296" w:rsidRPr="00A84BEE">
          <w:rPr>
            <w:noProof/>
            <w:webHidden/>
            <w:color w:val="000000" w:themeColor="text1"/>
          </w:rPr>
          <w:fldChar w:fldCharType="end"/>
        </w:r>
      </w:hyperlink>
    </w:p>
    <w:p w:rsidR="00EE4296" w:rsidRPr="00A84BEE" w:rsidRDefault="002E700A">
      <w:pPr>
        <w:pStyle w:val="TM1"/>
        <w:tabs>
          <w:tab w:val="left" w:pos="440"/>
          <w:tab w:val="right" w:leader="dot" w:pos="10536"/>
        </w:tabs>
        <w:rPr>
          <w:rFonts w:eastAsiaTheme="minorEastAsia"/>
          <w:noProof/>
          <w:color w:val="000000" w:themeColor="text1"/>
          <w:lang w:eastAsia="fr-CH"/>
        </w:rPr>
      </w:pPr>
      <w:hyperlink w:anchor="_Toc399246821" w:history="1">
        <w:r w:rsidR="00EE4296" w:rsidRPr="00A84BEE">
          <w:rPr>
            <w:rStyle w:val="Lienhypertexte"/>
            <w:noProof/>
            <w:color w:val="000000" w:themeColor="text1"/>
          </w:rPr>
          <w:t>4.</w:t>
        </w:r>
        <w:r w:rsidR="00EE4296" w:rsidRPr="00A84BEE">
          <w:rPr>
            <w:rFonts w:eastAsiaTheme="minorEastAsia"/>
            <w:noProof/>
            <w:color w:val="000000" w:themeColor="text1"/>
            <w:lang w:eastAsia="fr-CH"/>
          </w:rPr>
          <w:tab/>
        </w:r>
        <w:r w:rsidR="00EE4296" w:rsidRPr="00A84BEE">
          <w:rPr>
            <w:rStyle w:val="Lienhypertexte"/>
            <w:noProof/>
            <w:color w:val="000000" w:themeColor="text1"/>
          </w:rPr>
          <w:t>Confidentialité – droit de propriété exclusive-matériels mis à disposition</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_Toc399246821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2</w:t>
        </w:r>
        <w:r w:rsidR="00EE4296" w:rsidRPr="00A84BEE">
          <w:rPr>
            <w:noProof/>
            <w:webHidden/>
            <w:color w:val="000000" w:themeColor="text1"/>
          </w:rPr>
          <w:fldChar w:fldCharType="end"/>
        </w:r>
      </w:hyperlink>
    </w:p>
    <w:p w:rsidR="00EE4296" w:rsidRPr="00A84BEE" w:rsidRDefault="002E700A">
      <w:pPr>
        <w:pStyle w:val="TM1"/>
        <w:tabs>
          <w:tab w:val="left" w:pos="440"/>
          <w:tab w:val="right" w:leader="dot" w:pos="10536"/>
        </w:tabs>
        <w:rPr>
          <w:rFonts w:eastAsiaTheme="minorEastAsia"/>
          <w:noProof/>
          <w:color w:val="000000" w:themeColor="text1"/>
          <w:lang w:eastAsia="fr-CH"/>
        </w:rPr>
      </w:pPr>
      <w:hyperlink w:anchor="_Toc399246822" w:history="1">
        <w:r w:rsidR="00EE4296" w:rsidRPr="00A84BEE">
          <w:rPr>
            <w:rStyle w:val="Lienhypertexte"/>
            <w:noProof/>
            <w:color w:val="000000" w:themeColor="text1"/>
          </w:rPr>
          <w:t>5.</w:t>
        </w:r>
        <w:r w:rsidR="00EE4296" w:rsidRPr="00A84BEE">
          <w:rPr>
            <w:rFonts w:eastAsiaTheme="minorEastAsia"/>
            <w:noProof/>
            <w:color w:val="000000" w:themeColor="text1"/>
            <w:lang w:eastAsia="fr-CH"/>
          </w:rPr>
          <w:tab/>
        </w:r>
        <w:r w:rsidR="00EE4296" w:rsidRPr="00A84BEE">
          <w:rPr>
            <w:rStyle w:val="Lienhypertexte"/>
            <w:noProof/>
            <w:color w:val="000000" w:themeColor="text1"/>
          </w:rPr>
          <w:t>Exécution de la commande</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_Toc399246822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3</w:t>
        </w:r>
        <w:r w:rsidR="00EE4296" w:rsidRPr="00A84BEE">
          <w:rPr>
            <w:noProof/>
            <w:webHidden/>
            <w:color w:val="000000" w:themeColor="text1"/>
          </w:rPr>
          <w:fldChar w:fldCharType="end"/>
        </w:r>
      </w:hyperlink>
    </w:p>
    <w:p w:rsidR="00EE4296" w:rsidRPr="00A84BEE" w:rsidRDefault="002E700A">
      <w:pPr>
        <w:pStyle w:val="TM1"/>
        <w:tabs>
          <w:tab w:val="left" w:pos="440"/>
          <w:tab w:val="right" w:leader="dot" w:pos="10536"/>
        </w:tabs>
        <w:rPr>
          <w:rFonts w:eastAsiaTheme="minorEastAsia"/>
          <w:noProof/>
          <w:color w:val="000000" w:themeColor="text1"/>
          <w:lang w:eastAsia="fr-CH"/>
        </w:rPr>
      </w:pPr>
      <w:hyperlink w:anchor="_Toc399246823" w:history="1">
        <w:r w:rsidR="00EE4296" w:rsidRPr="00A84BEE">
          <w:rPr>
            <w:rStyle w:val="Lienhypertexte"/>
            <w:noProof/>
            <w:color w:val="000000" w:themeColor="text1"/>
          </w:rPr>
          <w:t>6.</w:t>
        </w:r>
        <w:r w:rsidR="00EE4296" w:rsidRPr="00A84BEE">
          <w:rPr>
            <w:rFonts w:eastAsiaTheme="minorEastAsia"/>
            <w:noProof/>
            <w:color w:val="000000" w:themeColor="text1"/>
            <w:lang w:eastAsia="fr-CH"/>
          </w:rPr>
          <w:tab/>
        </w:r>
        <w:r w:rsidR="00EE4296" w:rsidRPr="00A84BEE">
          <w:rPr>
            <w:rStyle w:val="Lienhypertexte"/>
            <w:noProof/>
            <w:color w:val="000000" w:themeColor="text1"/>
          </w:rPr>
          <w:t>Santé, sécurité et hygiène</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_Toc399246823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3</w:t>
        </w:r>
        <w:r w:rsidR="00EE4296" w:rsidRPr="00A84BEE">
          <w:rPr>
            <w:noProof/>
            <w:webHidden/>
            <w:color w:val="000000" w:themeColor="text1"/>
          </w:rPr>
          <w:fldChar w:fldCharType="end"/>
        </w:r>
      </w:hyperlink>
    </w:p>
    <w:p w:rsidR="00EE4296" w:rsidRPr="00A84BEE" w:rsidRDefault="002E700A">
      <w:pPr>
        <w:pStyle w:val="TM1"/>
        <w:tabs>
          <w:tab w:val="left" w:pos="440"/>
          <w:tab w:val="right" w:leader="dot" w:pos="10536"/>
        </w:tabs>
        <w:rPr>
          <w:rFonts w:eastAsiaTheme="minorEastAsia"/>
          <w:noProof/>
          <w:color w:val="000000" w:themeColor="text1"/>
          <w:lang w:eastAsia="fr-CH"/>
        </w:rPr>
      </w:pPr>
      <w:hyperlink w:anchor="_Toc399246824" w:history="1">
        <w:r w:rsidR="00EE4296" w:rsidRPr="00A84BEE">
          <w:rPr>
            <w:rStyle w:val="Lienhypertexte"/>
            <w:noProof/>
            <w:color w:val="000000" w:themeColor="text1"/>
          </w:rPr>
          <w:t>7.</w:t>
        </w:r>
        <w:r w:rsidR="00EE4296" w:rsidRPr="00A84BEE">
          <w:rPr>
            <w:rFonts w:eastAsiaTheme="minorEastAsia"/>
            <w:noProof/>
            <w:color w:val="000000" w:themeColor="text1"/>
            <w:lang w:eastAsia="fr-CH"/>
          </w:rPr>
          <w:tab/>
        </w:r>
        <w:r w:rsidR="00EE4296" w:rsidRPr="00A84BEE">
          <w:rPr>
            <w:rStyle w:val="Lienhypertexte"/>
            <w:noProof/>
            <w:color w:val="000000" w:themeColor="text1"/>
          </w:rPr>
          <w:t>Prix</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_Toc399246824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3</w:t>
        </w:r>
        <w:r w:rsidR="00EE4296" w:rsidRPr="00A84BEE">
          <w:rPr>
            <w:noProof/>
            <w:webHidden/>
            <w:color w:val="000000" w:themeColor="text1"/>
          </w:rPr>
          <w:fldChar w:fldCharType="end"/>
        </w:r>
      </w:hyperlink>
    </w:p>
    <w:p w:rsidR="00EE4296" w:rsidRPr="00A84BEE" w:rsidRDefault="002E700A">
      <w:pPr>
        <w:pStyle w:val="TM1"/>
        <w:tabs>
          <w:tab w:val="left" w:pos="440"/>
          <w:tab w:val="right" w:leader="dot" w:pos="10536"/>
        </w:tabs>
        <w:rPr>
          <w:rFonts w:eastAsiaTheme="minorEastAsia"/>
          <w:noProof/>
          <w:color w:val="000000" w:themeColor="text1"/>
          <w:lang w:eastAsia="fr-CH"/>
        </w:rPr>
      </w:pPr>
      <w:hyperlink w:anchor="_Toc399246825" w:history="1">
        <w:r w:rsidR="00EE4296" w:rsidRPr="00A84BEE">
          <w:rPr>
            <w:rStyle w:val="Lienhypertexte"/>
            <w:noProof/>
            <w:color w:val="000000" w:themeColor="text1"/>
          </w:rPr>
          <w:t>8.</w:t>
        </w:r>
        <w:r w:rsidR="00EE4296" w:rsidRPr="00A84BEE">
          <w:rPr>
            <w:rFonts w:eastAsiaTheme="minorEastAsia"/>
            <w:noProof/>
            <w:color w:val="000000" w:themeColor="text1"/>
            <w:lang w:eastAsia="fr-CH"/>
          </w:rPr>
          <w:tab/>
        </w:r>
        <w:r w:rsidR="00EE4296" w:rsidRPr="00A84BEE">
          <w:rPr>
            <w:rStyle w:val="Lienhypertexte"/>
            <w:noProof/>
            <w:color w:val="000000" w:themeColor="text1"/>
          </w:rPr>
          <w:t>Conditions de paiement – facture</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_Toc399246825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4</w:t>
        </w:r>
        <w:r w:rsidR="00EE4296" w:rsidRPr="00A84BEE">
          <w:rPr>
            <w:noProof/>
            <w:webHidden/>
            <w:color w:val="000000" w:themeColor="text1"/>
          </w:rPr>
          <w:fldChar w:fldCharType="end"/>
        </w:r>
      </w:hyperlink>
    </w:p>
    <w:p w:rsidR="00EE4296" w:rsidRPr="00A84BEE" w:rsidRDefault="002E700A">
      <w:pPr>
        <w:pStyle w:val="TM1"/>
        <w:tabs>
          <w:tab w:val="left" w:pos="440"/>
          <w:tab w:val="right" w:leader="dot" w:pos="10536"/>
        </w:tabs>
        <w:rPr>
          <w:rFonts w:eastAsiaTheme="minorEastAsia"/>
          <w:noProof/>
          <w:color w:val="000000" w:themeColor="text1"/>
          <w:lang w:eastAsia="fr-CH"/>
        </w:rPr>
      </w:pPr>
      <w:hyperlink w:anchor="_Toc399246826" w:history="1">
        <w:r w:rsidR="00EE4296" w:rsidRPr="00A84BEE">
          <w:rPr>
            <w:rStyle w:val="Lienhypertexte"/>
            <w:noProof/>
            <w:color w:val="000000" w:themeColor="text1"/>
          </w:rPr>
          <w:t>9.</w:t>
        </w:r>
        <w:r w:rsidR="00EE4296" w:rsidRPr="00A84BEE">
          <w:rPr>
            <w:rFonts w:eastAsiaTheme="minorEastAsia"/>
            <w:noProof/>
            <w:color w:val="000000" w:themeColor="text1"/>
            <w:lang w:eastAsia="fr-CH"/>
          </w:rPr>
          <w:tab/>
        </w:r>
        <w:r w:rsidR="00EE4296" w:rsidRPr="00A84BEE">
          <w:rPr>
            <w:rStyle w:val="Lienhypertexte"/>
            <w:noProof/>
            <w:color w:val="000000" w:themeColor="text1"/>
          </w:rPr>
          <w:t>Délai de livraison</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_Toc399246826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4</w:t>
        </w:r>
        <w:r w:rsidR="00EE4296" w:rsidRPr="00A84BEE">
          <w:rPr>
            <w:noProof/>
            <w:webHidden/>
            <w:color w:val="000000" w:themeColor="text1"/>
          </w:rPr>
          <w:fldChar w:fldCharType="end"/>
        </w:r>
      </w:hyperlink>
    </w:p>
    <w:p w:rsidR="00EE4296" w:rsidRPr="00A84BEE" w:rsidRDefault="002E700A">
      <w:pPr>
        <w:pStyle w:val="TM1"/>
        <w:tabs>
          <w:tab w:val="left" w:pos="660"/>
          <w:tab w:val="right" w:leader="dot" w:pos="10536"/>
        </w:tabs>
        <w:rPr>
          <w:rFonts w:eastAsiaTheme="minorEastAsia"/>
          <w:noProof/>
          <w:color w:val="000000" w:themeColor="text1"/>
          <w:lang w:eastAsia="fr-CH"/>
        </w:rPr>
      </w:pPr>
      <w:hyperlink w:anchor="_Toc399246827" w:history="1">
        <w:r w:rsidR="00EE4296" w:rsidRPr="00A84BEE">
          <w:rPr>
            <w:rStyle w:val="Lienhypertexte"/>
            <w:noProof/>
            <w:color w:val="000000" w:themeColor="text1"/>
          </w:rPr>
          <w:t>10.</w:t>
        </w:r>
        <w:r w:rsidR="00EE4296" w:rsidRPr="00A84BEE">
          <w:rPr>
            <w:rFonts w:eastAsiaTheme="minorEastAsia"/>
            <w:noProof/>
            <w:color w:val="000000" w:themeColor="text1"/>
            <w:lang w:eastAsia="fr-CH"/>
          </w:rPr>
          <w:tab/>
        </w:r>
        <w:r w:rsidR="00EE4296" w:rsidRPr="00A84BEE">
          <w:rPr>
            <w:rStyle w:val="Lienhypertexte"/>
            <w:noProof/>
            <w:color w:val="000000" w:themeColor="text1"/>
          </w:rPr>
          <w:t>Garantie – responsabilité-assurance</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_Toc399246827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4</w:t>
        </w:r>
        <w:r w:rsidR="00EE4296" w:rsidRPr="00A84BEE">
          <w:rPr>
            <w:noProof/>
            <w:webHidden/>
            <w:color w:val="000000" w:themeColor="text1"/>
          </w:rPr>
          <w:fldChar w:fldCharType="end"/>
        </w:r>
      </w:hyperlink>
    </w:p>
    <w:p w:rsidR="00EE4296" w:rsidRPr="00A84BEE" w:rsidRDefault="002E700A">
      <w:pPr>
        <w:pStyle w:val="TM1"/>
        <w:tabs>
          <w:tab w:val="left" w:pos="660"/>
          <w:tab w:val="right" w:leader="dot" w:pos="10536"/>
        </w:tabs>
        <w:rPr>
          <w:rFonts w:eastAsiaTheme="minorEastAsia"/>
          <w:noProof/>
          <w:color w:val="000000" w:themeColor="text1"/>
          <w:lang w:eastAsia="fr-CH"/>
        </w:rPr>
      </w:pPr>
      <w:hyperlink w:anchor="_Toc399246828" w:history="1">
        <w:r w:rsidR="00EE4296" w:rsidRPr="00A84BEE">
          <w:rPr>
            <w:rStyle w:val="Lienhypertexte"/>
            <w:noProof/>
            <w:color w:val="000000" w:themeColor="text1"/>
          </w:rPr>
          <w:t>11.</w:t>
        </w:r>
        <w:r w:rsidR="00EE4296" w:rsidRPr="00A84BEE">
          <w:rPr>
            <w:rFonts w:eastAsiaTheme="minorEastAsia"/>
            <w:noProof/>
            <w:color w:val="000000" w:themeColor="text1"/>
            <w:lang w:eastAsia="fr-CH"/>
          </w:rPr>
          <w:tab/>
        </w:r>
        <w:r w:rsidR="00EE4296" w:rsidRPr="00A84BEE">
          <w:rPr>
            <w:rStyle w:val="Lienhypertexte"/>
            <w:noProof/>
            <w:color w:val="000000" w:themeColor="text1"/>
          </w:rPr>
          <w:t>Livraison</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_Toc399246828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5</w:t>
        </w:r>
        <w:r w:rsidR="00EE4296" w:rsidRPr="00A84BEE">
          <w:rPr>
            <w:noProof/>
            <w:webHidden/>
            <w:color w:val="000000" w:themeColor="text1"/>
          </w:rPr>
          <w:fldChar w:fldCharType="end"/>
        </w:r>
      </w:hyperlink>
    </w:p>
    <w:p w:rsidR="00EE4296" w:rsidRPr="00A84BEE" w:rsidRDefault="002E700A">
      <w:pPr>
        <w:pStyle w:val="TM1"/>
        <w:tabs>
          <w:tab w:val="left" w:pos="660"/>
          <w:tab w:val="right" w:leader="dot" w:pos="10536"/>
        </w:tabs>
        <w:rPr>
          <w:rFonts w:eastAsiaTheme="minorEastAsia"/>
          <w:noProof/>
          <w:color w:val="000000" w:themeColor="text1"/>
          <w:lang w:eastAsia="fr-CH"/>
        </w:rPr>
      </w:pPr>
      <w:hyperlink w:anchor="_Toc399246829" w:history="1">
        <w:r w:rsidR="00EE4296" w:rsidRPr="00A84BEE">
          <w:rPr>
            <w:rStyle w:val="Lienhypertexte"/>
            <w:noProof/>
            <w:color w:val="000000" w:themeColor="text1"/>
          </w:rPr>
          <w:t>12.</w:t>
        </w:r>
        <w:r w:rsidR="00EE4296" w:rsidRPr="00A84BEE">
          <w:rPr>
            <w:rFonts w:eastAsiaTheme="minorEastAsia"/>
            <w:noProof/>
            <w:color w:val="000000" w:themeColor="text1"/>
            <w:lang w:eastAsia="fr-CH"/>
          </w:rPr>
          <w:tab/>
        </w:r>
        <w:r w:rsidR="00EE4296" w:rsidRPr="00A84BEE">
          <w:rPr>
            <w:rStyle w:val="Lienhypertexte"/>
            <w:noProof/>
            <w:color w:val="000000" w:themeColor="text1"/>
          </w:rPr>
          <w:t>Réception – acceptation</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_Toc399246829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5</w:t>
        </w:r>
        <w:r w:rsidR="00EE4296" w:rsidRPr="00A84BEE">
          <w:rPr>
            <w:noProof/>
            <w:webHidden/>
            <w:color w:val="000000" w:themeColor="text1"/>
          </w:rPr>
          <w:fldChar w:fldCharType="end"/>
        </w:r>
      </w:hyperlink>
    </w:p>
    <w:p w:rsidR="00EE4296" w:rsidRPr="00A84BEE" w:rsidRDefault="002E700A">
      <w:pPr>
        <w:pStyle w:val="TM1"/>
        <w:tabs>
          <w:tab w:val="left" w:pos="660"/>
          <w:tab w:val="right" w:leader="dot" w:pos="10536"/>
        </w:tabs>
        <w:rPr>
          <w:rFonts w:eastAsiaTheme="minorEastAsia"/>
          <w:noProof/>
          <w:color w:val="000000" w:themeColor="text1"/>
          <w:lang w:eastAsia="fr-CH"/>
        </w:rPr>
      </w:pPr>
      <w:hyperlink w:anchor="_Toc399246830" w:history="1">
        <w:r w:rsidR="00EE4296" w:rsidRPr="00A84BEE">
          <w:rPr>
            <w:rStyle w:val="Lienhypertexte"/>
            <w:noProof/>
            <w:color w:val="000000" w:themeColor="text1"/>
          </w:rPr>
          <w:t>13.</w:t>
        </w:r>
        <w:r w:rsidR="00EE4296" w:rsidRPr="00A84BEE">
          <w:rPr>
            <w:rFonts w:eastAsiaTheme="minorEastAsia"/>
            <w:noProof/>
            <w:color w:val="000000" w:themeColor="text1"/>
            <w:lang w:eastAsia="fr-CH"/>
          </w:rPr>
          <w:tab/>
        </w:r>
        <w:r w:rsidR="00EE4296" w:rsidRPr="00A84BEE">
          <w:rPr>
            <w:rStyle w:val="Lienhypertexte"/>
            <w:noProof/>
            <w:color w:val="000000" w:themeColor="text1"/>
          </w:rPr>
          <w:t>Documentation technique et manuel d’utilisation de maintenance</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_Toc399246830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5</w:t>
        </w:r>
        <w:r w:rsidR="00EE4296" w:rsidRPr="00A84BEE">
          <w:rPr>
            <w:noProof/>
            <w:webHidden/>
            <w:color w:val="000000" w:themeColor="text1"/>
          </w:rPr>
          <w:fldChar w:fldCharType="end"/>
        </w:r>
      </w:hyperlink>
    </w:p>
    <w:p w:rsidR="00EE4296" w:rsidRPr="00A84BEE" w:rsidRDefault="002E700A">
      <w:pPr>
        <w:pStyle w:val="TM1"/>
        <w:tabs>
          <w:tab w:val="left" w:pos="660"/>
          <w:tab w:val="right" w:leader="dot" w:pos="10536"/>
        </w:tabs>
        <w:rPr>
          <w:rFonts w:eastAsiaTheme="minorEastAsia"/>
          <w:noProof/>
          <w:color w:val="000000" w:themeColor="text1"/>
          <w:lang w:eastAsia="fr-CH"/>
        </w:rPr>
      </w:pPr>
      <w:hyperlink w:anchor="_Toc399246831" w:history="1">
        <w:r w:rsidR="00EE4296" w:rsidRPr="00A84BEE">
          <w:rPr>
            <w:rStyle w:val="Lienhypertexte"/>
            <w:noProof/>
            <w:color w:val="000000" w:themeColor="text1"/>
          </w:rPr>
          <w:t>14.</w:t>
        </w:r>
        <w:r w:rsidR="00EE4296" w:rsidRPr="00A84BEE">
          <w:rPr>
            <w:rFonts w:eastAsiaTheme="minorEastAsia"/>
            <w:noProof/>
            <w:color w:val="000000" w:themeColor="text1"/>
            <w:lang w:eastAsia="fr-CH"/>
          </w:rPr>
          <w:tab/>
        </w:r>
        <w:r w:rsidR="00EE4296" w:rsidRPr="00A84BEE">
          <w:rPr>
            <w:rStyle w:val="Lienhypertexte"/>
            <w:noProof/>
            <w:color w:val="000000" w:themeColor="text1"/>
          </w:rPr>
          <w:t>Transfert de propriété – transfert des risques – conditions de livraison</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_Toc399246831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6</w:t>
        </w:r>
        <w:r w:rsidR="00EE4296" w:rsidRPr="00A84BEE">
          <w:rPr>
            <w:noProof/>
            <w:webHidden/>
            <w:color w:val="000000" w:themeColor="text1"/>
          </w:rPr>
          <w:fldChar w:fldCharType="end"/>
        </w:r>
      </w:hyperlink>
    </w:p>
    <w:p w:rsidR="00EE4296" w:rsidRPr="00A84BEE" w:rsidRDefault="002E700A">
      <w:pPr>
        <w:pStyle w:val="TM1"/>
        <w:tabs>
          <w:tab w:val="left" w:pos="660"/>
          <w:tab w:val="right" w:leader="dot" w:pos="10536"/>
        </w:tabs>
        <w:rPr>
          <w:rFonts w:eastAsiaTheme="minorEastAsia"/>
          <w:noProof/>
          <w:color w:val="000000" w:themeColor="text1"/>
          <w:lang w:eastAsia="fr-CH"/>
        </w:rPr>
      </w:pPr>
      <w:hyperlink w:anchor="_Toc399246832" w:history="1">
        <w:r w:rsidR="00EE4296" w:rsidRPr="00A84BEE">
          <w:rPr>
            <w:rStyle w:val="Lienhypertexte"/>
            <w:noProof/>
            <w:color w:val="000000" w:themeColor="text1"/>
          </w:rPr>
          <w:t>15.</w:t>
        </w:r>
        <w:r w:rsidR="00EE4296" w:rsidRPr="00A84BEE">
          <w:rPr>
            <w:rFonts w:eastAsiaTheme="minorEastAsia"/>
            <w:noProof/>
            <w:color w:val="000000" w:themeColor="text1"/>
            <w:lang w:eastAsia="fr-CH"/>
          </w:rPr>
          <w:tab/>
        </w:r>
        <w:r w:rsidR="00EE4296" w:rsidRPr="00A84BEE">
          <w:rPr>
            <w:rStyle w:val="Lienhypertexte"/>
            <w:noProof/>
            <w:color w:val="000000" w:themeColor="text1"/>
          </w:rPr>
          <w:t>Exclusions</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_Toc399246832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6</w:t>
        </w:r>
        <w:r w:rsidR="00EE4296" w:rsidRPr="00A84BEE">
          <w:rPr>
            <w:noProof/>
            <w:webHidden/>
            <w:color w:val="000000" w:themeColor="text1"/>
          </w:rPr>
          <w:fldChar w:fldCharType="end"/>
        </w:r>
      </w:hyperlink>
    </w:p>
    <w:p w:rsidR="00EE4296" w:rsidRPr="00A84BEE" w:rsidRDefault="002E700A">
      <w:pPr>
        <w:pStyle w:val="TM1"/>
        <w:tabs>
          <w:tab w:val="left" w:pos="660"/>
          <w:tab w:val="right" w:leader="dot" w:pos="10536"/>
        </w:tabs>
        <w:rPr>
          <w:rFonts w:eastAsiaTheme="minorEastAsia"/>
          <w:noProof/>
          <w:color w:val="000000" w:themeColor="text1"/>
          <w:lang w:eastAsia="fr-CH"/>
        </w:rPr>
      </w:pPr>
      <w:hyperlink w:anchor="_Toc399246833" w:history="1">
        <w:r w:rsidR="00EE4296" w:rsidRPr="00A84BEE">
          <w:rPr>
            <w:rStyle w:val="Lienhypertexte"/>
            <w:noProof/>
            <w:color w:val="000000" w:themeColor="text1"/>
          </w:rPr>
          <w:t>16.</w:t>
        </w:r>
        <w:r w:rsidR="00EE4296" w:rsidRPr="00A84BEE">
          <w:rPr>
            <w:rFonts w:eastAsiaTheme="minorEastAsia"/>
            <w:noProof/>
            <w:color w:val="000000" w:themeColor="text1"/>
            <w:lang w:eastAsia="fr-CH"/>
          </w:rPr>
          <w:tab/>
        </w:r>
        <w:r w:rsidR="00EE4296" w:rsidRPr="00A84BEE">
          <w:rPr>
            <w:rStyle w:val="Lienhypertexte"/>
            <w:noProof/>
            <w:color w:val="000000" w:themeColor="text1"/>
          </w:rPr>
          <w:t>Force majeure</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_Toc399246833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6</w:t>
        </w:r>
        <w:r w:rsidR="00EE4296" w:rsidRPr="00A84BEE">
          <w:rPr>
            <w:noProof/>
            <w:webHidden/>
            <w:color w:val="000000" w:themeColor="text1"/>
          </w:rPr>
          <w:fldChar w:fldCharType="end"/>
        </w:r>
      </w:hyperlink>
    </w:p>
    <w:p w:rsidR="00EE4296" w:rsidRPr="00A84BEE" w:rsidRDefault="002E700A">
      <w:pPr>
        <w:pStyle w:val="TM1"/>
        <w:tabs>
          <w:tab w:val="left" w:pos="660"/>
          <w:tab w:val="right" w:leader="dot" w:pos="10536"/>
        </w:tabs>
        <w:rPr>
          <w:rFonts w:eastAsiaTheme="minorEastAsia"/>
          <w:noProof/>
          <w:color w:val="000000" w:themeColor="text1"/>
          <w:lang w:eastAsia="fr-CH"/>
        </w:rPr>
      </w:pPr>
      <w:hyperlink w:anchor="_Toc399246834" w:history="1">
        <w:r w:rsidR="00EE4296" w:rsidRPr="00A84BEE">
          <w:rPr>
            <w:rStyle w:val="Lienhypertexte"/>
            <w:noProof/>
            <w:color w:val="000000" w:themeColor="text1"/>
          </w:rPr>
          <w:t>17.</w:t>
        </w:r>
        <w:r w:rsidR="00EE4296" w:rsidRPr="00A84BEE">
          <w:rPr>
            <w:rFonts w:eastAsiaTheme="minorEastAsia"/>
            <w:noProof/>
            <w:color w:val="000000" w:themeColor="text1"/>
            <w:lang w:eastAsia="fr-CH"/>
          </w:rPr>
          <w:tab/>
        </w:r>
        <w:r w:rsidR="00EE4296" w:rsidRPr="00A84BEE">
          <w:rPr>
            <w:rStyle w:val="Lienhypertexte"/>
            <w:noProof/>
            <w:color w:val="000000" w:themeColor="text1"/>
          </w:rPr>
          <w:t>Clauses résolutoires</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_Toc399246834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7</w:t>
        </w:r>
        <w:r w:rsidR="00EE4296" w:rsidRPr="00A84BEE">
          <w:rPr>
            <w:noProof/>
            <w:webHidden/>
            <w:color w:val="000000" w:themeColor="text1"/>
          </w:rPr>
          <w:fldChar w:fldCharType="end"/>
        </w:r>
      </w:hyperlink>
    </w:p>
    <w:p w:rsidR="00EE4296" w:rsidRPr="00A84BEE" w:rsidRDefault="002E700A">
      <w:pPr>
        <w:pStyle w:val="TM1"/>
        <w:tabs>
          <w:tab w:val="left" w:pos="660"/>
          <w:tab w:val="right" w:leader="dot" w:pos="10536"/>
        </w:tabs>
        <w:rPr>
          <w:rFonts w:eastAsiaTheme="minorEastAsia"/>
          <w:noProof/>
          <w:color w:val="000000" w:themeColor="text1"/>
          <w:lang w:eastAsia="fr-CH"/>
        </w:rPr>
      </w:pPr>
      <w:hyperlink w:anchor="_Toc399246835" w:history="1">
        <w:r w:rsidR="00EE4296" w:rsidRPr="00A84BEE">
          <w:rPr>
            <w:rStyle w:val="Lienhypertexte"/>
            <w:noProof/>
            <w:color w:val="000000" w:themeColor="text1"/>
          </w:rPr>
          <w:t>18.</w:t>
        </w:r>
        <w:r w:rsidR="00EE4296" w:rsidRPr="00A84BEE">
          <w:rPr>
            <w:rFonts w:eastAsiaTheme="minorEastAsia"/>
            <w:noProof/>
            <w:color w:val="000000" w:themeColor="text1"/>
            <w:lang w:eastAsia="fr-CH"/>
          </w:rPr>
          <w:tab/>
        </w:r>
        <w:r w:rsidR="00EE4296" w:rsidRPr="00A84BEE">
          <w:rPr>
            <w:rStyle w:val="Lienhypertexte"/>
            <w:noProof/>
            <w:color w:val="000000" w:themeColor="text1"/>
          </w:rPr>
          <w:t>Ethique/développement durable</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_Toc399246835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7</w:t>
        </w:r>
        <w:r w:rsidR="00EE4296" w:rsidRPr="00A84BEE">
          <w:rPr>
            <w:noProof/>
            <w:webHidden/>
            <w:color w:val="000000" w:themeColor="text1"/>
          </w:rPr>
          <w:fldChar w:fldCharType="end"/>
        </w:r>
      </w:hyperlink>
    </w:p>
    <w:p w:rsidR="00EE4296" w:rsidRPr="00A84BEE" w:rsidRDefault="002E700A">
      <w:pPr>
        <w:pStyle w:val="TM1"/>
        <w:tabs>
          <w:tab w:val="left" w:pos="660"/>
          <w:tab w:val="right" w:leader="dot" w:pos="10536"/>
        </w:tabs>
        <w:rPr>
          <w:rFonts w:eastAsiaTheme="minorEastAsia"/>
          <w:noProof/>
          <w:color w:val="000000" w:themeColor="text1"/>
          <w:lang w:eastAsia="fr-CH"/>
        </w:rPr>
      </w:pPr>
      <w:hyperlink w:anchor="_Toc399246836" w:history="1">
        <w:r w:rsidR="00EE4296" w:rsidRPr="00A84BEE">
          <w:rPr>
            <w:rStyle w:val="Lienhypertexte"/>
            <w:noProof/>
            <w:color w:val="000000" w:themeColor="text1"/>
          </w:rPr>
          <w:t>19.</w:t>
        </w:r>
        <w:r w:rsidR="00EE4296" w:rsidRPr="00A84BEE">
          <w:rPr>
            <w:rFonts w:eastAsiaTheme="minorEastAsia"/>
            <w:noProof/>
            <w:color w:val="000000" w:themeColor="text1"/>
            <w:lang w:eastAsia="fr-CH"/>
          </w:rPr>
          <w:tab/>
        </w:r>
        <w:r w:rsidR="00EE4296" w:rsidRPr="00A84BEE">
          <w:rPr>
            <w:rStyle w:val="Lienhypertexte"/>
            <w:noProof/>
            <w:color w:val="000000" w:themeColor="text1"/>
          </w:rPr>
          <w:t>Droit applicable</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_Toc399246836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7</w:t>
        </w:r>
        <w:r w:rsidR="00EE4296" w:rsidRPr="00A84BEE">
          <w:rPr>
            <w:noProof/>
            <w:webHidden/>
            <w:color w:val="000000" w:themeColor="text1"/>
          </w:rPr>
          <w:fldChar w:fldCharType="end"/>
        </w:r>
      </w:hyperlink>
    </w:p>
    <w:p w:rsidR="00EE4296" w:rsidRPr="00A84BEE" w:rsidRDefault="002E700A">
      <w:pPr>
        <w:pStyle w:val="TM1"/>
        <w:tabs>
          <w:tab w:val="left" w:pos="660"/>
          <w:tab w:val="right" w:leader="dot" w:pos="10536"/>
        </w:tabs>
        <w:rPr>
          <w:rFonts w:eastAsiaTheme="minorEastAsia"/>
          <w:noProof/>
          <w:color w:val="000000" w:themeColor="text1"/>
          <w:lang w:eastAsia="fr-CH"/>
        </w:rPr>
      </w:pPr>
      <w:hyperlink w:anchor="_Toc399246837" w:history="1">
        <w:r w:rsidR="00EE4296" w:rsidRPr="00A84BEE">
          <w:rPr>
            <w:rStyle w:val="Lienhypertexte"/>
            <w:noProof/>
            <w:color w:val="000000" w:themeColor="text1"/>
          </w:rPr>
          <w:t>20.</w:t>
        </w:r>
        <w:r w:rsidR="00EE4296" w:rsidRPr="00A84BEE">
          <w:rPr>
            <w:rFonts w:eastAsiaTheme="minorEastAsia"/>
            <w:noProof/>
            <w:color w:val="000000" w:themeColor="text1"/>
            <w:lang w:eastAsia="fr-CH"/>
          </w:rPr>
          <w:tab/>
        </w:r>
        <w:r w:rsidR="00EE4296" w:rsidRPr="00A84BEE">
          <w:rPr>
            <w:rStyle w:val="Lienhypertexte"/>
            <w:noProof/>
            <w:color w:val="000000" w:themeColor="text1"/>
          </w:rPr>
          <w:t>Attribution de juridiction</w:t>
        </w:r>
        <w:r w:rsidR="00EE4296" w:rsidRPr="00A84BEE">
          <w:rPr>
            <w:noProof/>
            <w:webHidden/>
            <w:color w:val="000000" w:themeColor="text1"/>
          </w:rPr>
          <w:tab/>
        </w:r>
        <w:r w:rsidR="00EE4296" w:rsidRPr="00A84BEE">
          <w:rPr>
            <w:noProof/>
            <w:webHidden/>
            <w:color w:val="000000" w:themeColor="text1"/>
          </w:rPr>
          <w:fldChar w:fldCharType="begin"/>
        </w:r>
        <w:r w:rsidR="00EE4296" w:rsidRPr="00A84BEE">
          <w:rPr>
            <w:noProof/>
            <w:webHidden/>
            <w:color w:val="000000" w:themeColor="text1"/>
          </w:rPr>
          <w:instrText xml:space="preserve"> PAGEREF _Toc399246837 \h </w:instrText>
        </w:r>
        <w:r w:rsidR="00EE4296" w:rsidRPr="00A84BEE">
          <w:rPr>
            <w:noProof/>
            <w:webHidden/>
            <w:color w:val="000000" w:themeColor="text1"/>
          </w:rPr>
        </w:r>
        <w:r w:rsidR="00EE4296" w:rsidRPr="00A84BEE">
          <w:rPr>
            <w:noProof/>
            <w:webHidden/>
            <w:color w:val="000000" w:themeColor="text1"/>
          </w:rPr>
          <w:fldChar w:fldCharType="separate"/>
        </w:r>
        <w:r w:rsidR="00310EFD">
          <w:rPr>
            <w:noProof/>
            <w:webHidden/>
            <w:color w:val="000000" w:themeColor="text1"/>
          </w:rPr>
          <w:t>7</w:t>
        </w:r>
        <w:r w:rsidR="00EE4296" w:rsidRPr="00A84BEE">
          <w:rPr>
            <w:noProof/>
            <w:webHidden/>
            <w:color w:val="000000" w:themeColor="text1"/>
          </w:rPr>
          <w:fldChar w:fldCharType="end"/>
        </w:r>
      </w:hyperlink>
    </w:p>
    <w:p w:rsidR="003B3BC1" w:rsidRPr="00334EF7" w:rsidRDefault="00E203D0" w:rsidP="00334EF7">
      <w:pPr>
        <w:pStyle w:val="TM1"/>
        <w:tabs>
          <w:tab w:val="left" w:pos="440"/>
          <w:tab w:val="left" w:pos="567"/>
          <w:tab w:val="left" w:pos="660"/>
          <w:tab w:val="right" w:leader="dot" w:pos="10536"/>
        </w:tabs>
        <w:jc w:val="both"/>
        <w:rPr>
          <w:color w:val="000000" w:themeColor="text1"/>
        </w:rPr>
      </w:pPr>
      <w:r w:rsidRPr="00A84BEE">
        <w:rPr>
          <w:color w:val="000000" w:themeColor="text1"/>
        </w:rPr>
        <w:fldChar w:fldCharType="end"/>
      </w:r>
      <w:r w:rsidR="003B3BC1" w:rsidRPr="00A84BEE">
        <w:rPr>
          <w:color w:val="000000" w:themeColor="text1"/>
        </w:rPr>
        <w:br w:type="page"/>
      </w:r>
    </w:p>
    <w:p w:rsidR="00FC6553" w:rsidRPr="00A84BEE" w:rsidRDefault="00FC6553" w:rsidP="003F3E13">
      <w:pPr>
        <w:pStyle w:val="Conditionsachats"/>
        <w:spacing w:before="300" w:after="120"/>
        <w:ind w:left="709" w:hanging="709"/>
        <w:rPr>
          <w:color w:val="000000" w:themeColor="text1"/>
          <w:sz w:val="24"/>
          <w:szCs w:val="24"/>
        </w:rPr>
      </w:pPr>
      <w:bookmarkStart w:id="0" w:name="_Toc399246818"/>
      <w:r w:rsidRPr="00A84BEE">
        <w:rPr>
          <w:color w:val="000000" w:themeColor="text1"/>
          <w:sz w:val="24"/>
          <w:szCs w:val="24"/>
        </w:rPr>
        <w:lastRenderedPageBreak/>
        <w:t>Champ d’application</w:t>
      </w:r>
      <w:bookmarkEnd w:id="0"/>
    </w:p>
    <w:p w:rsidR="00113BD9" w:rsidRPr="00A84BEE" w:rsidRDefault="00FC6553" w:rsidP="003F3E13">
      <w:pPr>
        <w:pStyle w:val="Paragraphedeliste"/>
        <w:numPr>
          <w:ilvl w:val="1"/>
          <w:numId w:val="1"/>
        </w:numPr>
        <w:spacing w:after="0"/>
        <w:ind w:left="709" w:hanging="709"/>
        <w:jc w:val="both"/>
        <w:rPr>
          <w:color w:val="000000" w:themeColor="text1"/>
        </w:rPr>
      </w:pPr>
      <w:r w:rsidRPr="00A84BEE">
        <w:rPr>
          <w:color w:val="000000" w:themeColor="text1"/>
        </w:rPr>
        <w:t>Les présentes conditions générales d’achat (CGA) s’appliquent à l’achat de tous matériaux, objets, produits, composants, logiciels et de tous les services (</w:t>
      </w:r>
      <w:r w:rsidR="002F6173" w:rsidRPr="00A84BEE">
        <w:rPr>
          <w:color w:val="000000" w:themeColor="text1"/>
        </w:rPr>
        <w:t>ci-après</w:t>
      </w:r>
      <w:r w:rsidRPr="00A84BEE">
        <w:rPr>
          <w:color w:val="000000" w:themeColor="text1"/>
        </w:rPr>
        <w:t xml:space="preserve"> « </w:t>
      </w:r>
      <w:r w:rsidR="00AC2BDA" w:rsidRPr="00A84BEE">
        <w:rPr>
          <w:color w:val="000000" w:themeColor="text1"/>
        </w:rPr>
        <w:t>b</w:t>
      </w:r>
      <w:r w:rsidRPr="00A84BEE">
        <w:rPr>
          <w:color w:val="000000" w:themeColor="text1"/>
        </w:rPr>
        <w:t xml:space="preserve">iens ») offerts ou fournis par tous les fournisseurs </w:t>
      </w:r>
      <w:r w:rsidR="002F6173" w:rsidRPr="00A84BEE">
        <w:rPr>
          <w:color w:val="000000" w:themeColor="text1"/>
        </w:rPr>
        <w:t xml:space="preserve">(ci-après « fournisseur ») </w:t>
      </w:r>
      <w:r w:rsidRPr="00A84BEE">
        <w:rPr>
          <w:color w:val="000000" w:themeColor="text1"/>
        </w:rPr>
        <w:t>à toutes les sociétés actuelles et fut</w:t>
      </w:r>
      <w:r w:rsidR="002F6173" w:rsidRPr="00A84BEE">
        <w:rPr>
          <w:color w:val="000000" w:themeColor="text1"/>
        </w:rPr>
        <w:t xml:space="preserve">ures appartenant </w:t>
      </w:r>
      <w:r w:rsidR="007C7E32" w:rsidRPr="00A84BEE">
        <w:rPr>
          <w:color w:val="000000" w:themeColor="text1"/>
        </w:rPr>
        <w:t>à</w:t>
      </w:r>
      <w:r w:rsidR="002E700A">
        <w:rPr>
          <w:color w:val="000000" w:themeColor="text1"/>
        </w:rPr>
        <w:t xml:space="preserve"> </w:t>
      </w:r>
      <w:proofErr w:type="spellStart"/>
      <w:r w:rsidR="002E700A">
        <w:rPr>
          <w:color w:val="000000" w:themeColor="text1"/>
        </w:rPr>
        <w:t>Interprox</w:t>
      </w:r>
      <w:proofErr w:type="spellEnd"/>
      <w:r w:rsidR="002E700A">
        <w:rPr>
          <w:color w:val="000000" w:themeColor="text1"/>
        </w:rPr>
        <w:t xml:space="preserve"> SA</w:t>
      </w:r>
      <w:r w:rsidR="007C7E32" w:rsidRPr="00A84BEE">
        <w:rPr>
          <w:color w:val="000000" w:themeColor="text1"/>
        </w:rPr>
        <w:t>, rue du Stand 63, CH-2800 Delémont,</w:t>
      </w:r>
      <w:r w:rsidR="002F6173" w:rsidRPr="00A84BEE">
        <w:rPr>
          <w:color w:val="000000" w:themeColor="text1"/>
        </w:rPr>
        <w:t xml:space="preserve"> (ci-après « acheteur »)</w:t>
      </w:r>
      <w:r w:rsidR="00A41A8A" w:rsidRPr="00A84BEE">
        <w:rPr>
          <w:color w:val="000000" w:themeColor="text1"/>
        </w:rPr>
        <w:t>, notamment</w:t>
      </w:r>
      <w:r w:rsidR="002E700A">
        <w:rPr>
          <w:color w:val="000000" w:themeColor="text1"/>
        </w:rPr>
        <w:t xml:space="preserve"> </w:t>
      </w:r>
      <w:proofErr w:type="spellStart"/>
      <w:r w:rsidR="002E700A">
        <w:rPr>
          <w:color w:val="000000" w:themeColor="text1"/>
        </w:rPr>
        <w:t>duotec</w:t>
      </w:r>
      <w:proofErr w:type="spellEnd"/>
      <w:r w:rsidR="002E700A">
        <w:rPr>
          <w:color w:val="000000" w:themeColor="text1"/>
        </w:rPr>
        <w:t xml:space="preserve"> Operations </w:t>
      </w:r>
      <w:r w:rsidR="002E700A" w:rsidRPr="00A84BEE">
        <w:rPr>
          <w:color w:val="000000" w:themeColor="text1"/>
        </w:rPr>
        <w:t>SA</w:t>
      </w:r>
      <w:r w:rsidR="00A41A8A" w:rsidRPr="00A84BEE">
        <w:rPr>
          <w:color w:val="000000" w:themeColor="text1"/>
        </w:rPr>
        <w:t xml:space="preserve"> et TSL SA</w:t>
      </w:r>
      <w:r w:rsidR="00113BD9" w:rsidRPr="00A84BEE">
        <w:rPr>
          <w:color w:val="000000" w:themeColor="text1"/>
        </w:rPr>
        <w:t xml:space="preserve">. En acceptant une commande de </w:t>
      </w:r>
      <w:r w:rsidR="002F6173" w:rsidRPr="00A84BEE">
        <w:rPr>
          <w:color w:val="000000" w:themeColor="text1"/>
        </w:rPr>
        <w:t>la</w:t>
      </w:r>
      <w:r w:rsidR="00113BD9" w:rsidRPr="00A84BEE">
        <w:rPr>
          <w:color w:val="000000" w:themeColor="text1"/>
        </w:rPr>
        <w:t xml:space="preserve"> part</w:t>
      </w:r>
      <w:r w:rsidR="002F6173" w:rsidRPr="00A84BEE">
        <w:rPr>
          <w:color w:val="000000" w:themeColor="text1"/>
        </w:rPr>
        <w:t xml:space="preserve"> de l’acheteur</w:t>
      </w:r>
      <w:r w:rsidR="00113BD9" w:rsidRPr="00A84BEE">
        <w:rPr>
          <w:color w:val="000000" w:themeColor="text1"/>
        </w:rPr>
        <w:t xml:space="preserve">, le fournisseur accepte de ce fait </w:t>
      </w:r>
      <w:r w:rsidR="00A1074A" w:rsidRPr="00A84BEE">
        <w:rPr>
          <w:color w:val="000000" w:themeColor="text1"/>
        </w:rPr>
        <w:t xml:space="preserve">l’intégralité des </w:t>
      </w:r>
      <w:r w:rsidR="003F3E13" w:rsidRPr="00A84BEE">
        <w:rPr>
          <w:color w:val="000000" w:themeColor="text1"/>
        </w:rPr>
        <w:t xml:space="preserve">présentes CGA. </w:t>
      </w:r>
    </w:p>
    <w:p w:rsidR="00307215" w:rsidRPr="00A84BEE" w:rsidRDefault="00307215" w:rsidP="003F3E13">
      <w:pPr>
        <w:pStyle w:val="Paragraphedeliste"/>
        <w:numPr>
          <w:ilvl w:val="1"/>
          <w:numId w:val="1"/>
        </w:numPr>
        <w:spacing w:after="0"/>
        <w:ind w:left="709" w:hanging="709"/>
        <w:jc w:val="both"/>
        <w:rPr>
          <w:color w:val="000000" w:themeColor="text1"/>
        </w:rPr>
      </w:pPr>
      <w:r w:rsidRPr="00A84BEE">
        <w:rPr>
          <w:color w:val="000000" w:themeColor="text1"/>
        </w:rPr>
        <w:t>Au cas où</w:t>
      </w:r>
      <w:r w:rsidR="00113BD9" w:rsidRPr="00A84BEE">
        <w:rPr>
          <w:color w:val="000000" w:themeColor="text1"/>
        </w:rPr>
        <w:t xml:space="preserve"> certaines dispositions des CGA ne pourraient être appliquées pour quelque motif que ce soit, tous les autres termes et conditions des CGA resteraient valables.</w:t>
      </w:r>
    </w:p>
    <w:p w:rsidR="00113BD9" w:rsidRPr="00A84BEE" w:rsidRDefault="00307215" w:rsidP="003F3E13">
      <w:pPr>
        <w:pStyle w:val="Paragraphedeliste"/>
        <w:numPr>
          <w:ilvl w:val="1"/>
          <w:numId w:val="1"/>
        </w:numPr>
        <w:spacing w:after="0"/>
        <w:ind w:left="709" w:hanging="709"/>
        <w:jc w:val="both"/>
        <w:rPr>
          <w:color w:val="000000" w:themeColor="text1"/>
        </w:rPr>
      </w:pPr>
      <w:r w:rsidRPr="00A84BEE">
        <w:rPr>
          <w:color w:val="000000" w:themeColor="text1"/>
        </w:rPr>
        <w:t>Les clauses</w:t>
      </w:r>
      <w:r w:rsidR="00113BD9" w:rsidRPr="00A84BEE">
        <w:rPr>
          <w:color w:val="000000" w:themeColor="text1"/>
        </w:rPr>
        <w:t xml:space="preserve"> particulières d’une commande, les dispositions spécifiques (contrats) convenues par écrit entre l’acheteur et le fournisseur ainsi que tout autre document auquel elles se réfèrent et qui seraient en contra</w:t>
      </w:r>
      <w:r w:rsidR="001F4722" w:rsidRPr="00A84BEE">
        <w:rPr>
          <w:color w:val="000000" w:themeColor="text1"/>
        </w:rPr>
        <w:t>diction avec les présentes CGA</w:t>
      </w:r>
      <w:r w:rsidR="00F43C37" w:rsidRPr="00A84BEE">
        <w:rPr>
          <w:color w:val="000000" w:themeColor="text1"/>
        </w:rPr>
        <w:t>, prévalent sur ces dernières.</w:t>
      </w:r>
    </w:p>
    <w:p w:rsidR="00FC6553" w:rsidRPr="00A84BEE" w:rsidRDefault="00FC6553" w:rsidP="003F3E13">
      <w:pPr>
        <w:pStyle w:val="Conditionsachats"/>
        <w:spacing w:before="300" w:after="120"/>
        <w:ind w:left="709" w:hanging="709"/>
        <w:rPr>
          <w:color w:val="000000" w:themeColor="text1"/>
          <w:sz w:val="24"/>
          <w:szCs w:val="24"/>
        </w:rPr>
      </w:pPr>
      <w:bookmarkStart w:id="1" w:name="_Toc399246819"/>
      <w:r w:rsidRPr="00A84BEE">
        <w:rPr>
          <w:color w:val="000000" w:themeColor="text1"/>
          <w:sz w:val="24"/>
          <w:szCs w:val="24"/>
        </w:rPr>
        <w:t>Commande</w:t>
      </w:r>
      <w:r w:rsidR="00823252" w:rsidRPr="00A84BEE">
        <w:rPr>
          <w:color w:val="000000" w:themeColor="text1"/>
          <w:sz w:val="24"/>
          <w:szCs w:val="24"/>
        </w:rPr>
        <w:t>s et contrats cadres</w:t>
      </w:r>
      <w:bookmarkEnd w:id="1"/>
    </w:p>
    <w:p w:rsidR="00D4105C" w:rsidRPr="00A84BEE" w:rsidRDefault="00307215" w:rsidP="003F3E13">
      <w:pPr>
        <w:pStyle w:val="Paragraphedeliste"/>
        <w:numPr>
          <w:ilvl w:val="1"/>
          <w:numId w:val="1"/>
        </w:numPr>
        <w:ind w:left="709" w:hanging="709"/>
        <w:jc w:val="both"/>
        <w:rPr>
          <w:color w:val="000000" w:themeColor="text1"/>
        </w:rPr>
      </w:pPr>
      <w:r w:rsidRPr="00A84BEE">
        <w:rPr>
          <w:color w:val="000000" w:themeColor="text1"/>
        </w:rPr>
        <w:t>Aucune commande</w:t>
      </w:r>
      <w:r w:rsidR="00D4105C" w:rsidRPr="00A84BEE">
        <w:rPr>
          <w:color w:val="000000" w:themeColor="text1"/>
        </w:rPr>
        <w:t xml:space="preserve">, modification de commande, ajout ou avenant ne </w:t>
      </w:r>
      <w:r w:rsidR="00A82E98" w:rsidRPr="00A84BEE">
        <w:rPr>
          <w:color w:val="000000" w:themeColor="text1"/>
        </w:rPr>
        <w:t>peuvent</w:t>
      </w:r>
      <w:r w:rsidR="00D4105C" w:rsidRPr="00A84BEE">
        <w:rPr>
          <w:color w:val="000000" w:themeColor="text1"/>
        </w:rPr>
        <w:t xml:space="preserve"> engager l’acheteur sans convention écrite émise par ce dernier et dûment signée par les personnes autorisées à engager l’acheteur.</w:t>
      </w:r>
    </w:p>
    <w:p w:rsidR="00A10FED" w:rsidRPr="00A84BEE" w:rsidRDefault="009A3B72" w:rsidP="00A10FED">
      <w:pPr>
        <w:pStyle w:val="Paragraphedeliste"/>
        <w:numPr>
          <w:ilvl w:val="1"/>
          <w:numId w:val="1"/>
        </w:numPr>
        <w:ind w:left="709" w:hanging="709"/>
        <w:jc w:val="both"/>
        <w:rPr>
          <w:color w:val="000000" w:themeColor="text1"/>
        </w:rPr>
      </w:pPr>
      <w:r w:rsidRPr="00A84BEE">
        <w:rPr>
          <w:color w:val="000000" w:themeColor="text1"/>
        </w:rPr>
        <w:t>Les commandes passées par l’acheteur comprennent le texte de la commande, les conditions générales d’achat, ainsi que</w:t>
      </w:r>
      <w:r w:rsidR="00A1074A" w:rsidRPr="00A84BEE">
        <w:rPr>
          <w:color w:val="000000" w:themeColor="text1"/>
        </w:rPr>
        <w:t xml:space="preserve"> les annexes éventuelles (</w:t>
      </w:r>
      <w:r w:rsidRPr="00A84BEE">
        <w:rPr>
          <w:color w:val="000000" w:themeColor="text1"/>
        </w:rPr>
        <w:t>plans, cahier des charges, spécifications)</w:t>
      </w:r>
      <w:r w:rsidR="0082602B" w:rsidRPr="00A84BEE">
        <w:rPr>
          <w:color w:val="000000" w:themeColor="text1"/>
        </w:rPr>
        <w:t>. L’acheteur ne s’engage que sur les quantités commandées.</w:t>
      </w:r>
    </w:p>
    <w:p w:rsidR="00FC6553" w:rsidRPr="00A84BEE" w:rsidRDefault="00FC6553" w:rsidP="003F3E13">
      <w:pPr>
        <w:pStyle w:val="Conditionsachats"/>
        <w:spacing w:before="300" w:after="120"/>
        <w:ind w:left="709" w:hanging="709"/>
        <w:rPr>
          <w:color w:val="000000" w:themeColor="text1"/>
          <w:sz w:val="24"/>
          <w:szCs w:val="24"/>
        </w:rPr>
      </w:pPr>
      <w:bookmarkStart w:id="2" w:name="_Toc399246820"/>
      <w:r w:rsidRPr="00A84BEE">
        <w:rPr>
          <w:color w:val="000000" w:themeColor="text1"/>
          <w:sz w:val="24"/>
          <w:szCs w:val="24"/>
        </w:rPr>
        <w:t>Confirmation de commande</w:t>
      </w:r>
      <w:bookmarkEnd w:id="2"/>
    </w:p>
    <w:p w:rsidR="00D4105C" w:rsidRPr="00A84BEE" w:rsidRDefault="00307215" w:rsidP="003F3E13">
      <w:pPr>
        <w:pStyle w:val="Paragraphedeliste"/>
        <w:numPr>
          <w:ilvl w:val="1"/>
          <w:numId w:val="1"/>
        </w:numPr>
        <w:ind w:left="709" w:hanging="709"/>
        <w:jc w:val="both"/>
        <w:rPr>
          <w:color w:val="000000" w:themeColor="text1"/>
        </w:rPr>
      </w:pPr>
      <w:r w:rsidRPr="00A84BEE">
        <w:rPr>
          <w:color w:val="000000" w:themeColor="text1"/>
        </w:rPr>
        <w:t>Sauf convention contraire</w:t>
      </w:r>
      <w:r w:rsidR="002F6173" w:rsidRPr="00A84BEE">
        <w:rPr>
          <w:color w:val="000000" w:themeColor="text1"/>
        </w:rPr>
        <w:t>,</w:t>
      </w:r>
      <w:r w:rsidR="00D4105C" w:rsidRPr="00A84BEE">
        <w:rPr>
          <w:color w:val="000000" w:themeColor="text1"/>
        </w:rPr>
        <w:t xml:space="preserve"> le fournisseur doit confirmer la commande dans un délai n’excédant pas </w:t>
      </w:r>
      <w:r w:rsidR="008129ED" w:rsidRPr="00A84BEE">
        <w:rPr>
          <w:color w:val="000000" w:themeColor="text1"/>
        </w:rPr>
        <w:t>trois jours ouvr</w:t>
      </w:r>
      <w:r w:rsidR="00F43C37" w:rsidRPr="00A84BEE">
        <w:rPr>
          <w:color w:val="000000" w:themeColor="text1"/>
        </w:rPr>
        <w:t xml:space="preserve">és </w:t>
      </w:r>
      <w:r w:rsidR="00D4105C" w:rsidRPr="00A84BEE">
        <w:rPr>
          <w:color w:val="000000" w:themeColor="text1"/>
        </w:rPr>
        <w:t>après réception de ladite commande</w:t>
      </w:r>
      <w:r w:rsidR="005120ED" w:rsidRPr="00A84BEE">
        <w:rPr>
          <w:color w:val="000000" w:themeColor="text1"/>
        </w:rPr>
        <w:t xml:space="preserve">. </w:t>
      </w:r>
    </w:p>
    <w:p w:rsidR="00D4105C" w:rsidRPr="00A84BEE" w:rsidRDefault="00307215" w:rsidP="003F3E13">
      <w:pPr>
        <w:pStyle w:val="Paragraphedeliste"/>
        <w:numPr>
          <w:ilvl w:val="1"/>
          <w:numId w:val="1"/>
        </w:numPr>
        <w:ind w:left="709" w:hanging="709"/>
        <w:jc w:val="both"/>
        <w:rPr>
          <w:color w:val="000000" w:themeColor="text1"/>
        </w:rPr>
      </w:pPr>
      <w:r w:rsidRPr="00A84BEE">
        <w:rPr>
          <w:color w:val="000000" w:themeColor="text1"/>
        </w:rPr>
        <w:t>La confirmation</w:t>
      </w:r>
      <w:r w:rsidR="00D4105C" w:rsidRPr="00A84BEE">
        <w:rPr>
          <w:color w:val="000000" w:themeColor="text1"/>
        </w:rPr>
        <w:t xml:space="preserve"> de commande en tout point conforme à la commande signifie l’acceptation définitive de cette dernière par le fournisseur. Une confirmation de commande comportant de</w:t>
      </w:r>
      <w:r w:rsidR="00AC2BDA" w:rsidRPr="00A84BEE">
        <w:rPr>
          <w:color w:val="000000" w:themeColor="text1"/>
        </w:rPr>
        <w:t>s différences avec la commande a</w:t>
      </w:r>
      <w:r w:rsidR="00D4105C" w:rsidRPr="00A84BEE">
        <w:rPr>
          <w:color w:val="000000" w:themeColor="text1"/>
        </w:rPr>
        <w:t xml:space="preserve"> valeur de nouvelle off</w:t>
      </w:r>
      <w:r w:rsidR="00F31172" w:rsidRPr="00A84BEE">
        <w:rPr>
          <w:color w:val="000000" w:themeColor="text1"/>
        </w:rPr>
        <w:t>re et peut être refusée par</w:t>
      </w:r>
      <w:r w:rsidR="00D4105C" w:rsidRPr="00A84BEE">
        <w:rPr>
          <w:color w:val="000000" w:themeColor="text1"/>
        </w:rPr>
        <w:t xml:space="preserve"> l’acheteur.</w:t>
      </w:r>
    </w:p>
    <w:p w:rsidR="00FC6553" w:rsidRPr="00A84BEE" w:rsidRDefault="00FC6553" w:rsidP="003F3E13">
      <w:pPr>
        <w:pStyle w:val="Conditionsachats"/>
        <w:spacing w:before="300" w:after="120"/>
        <w:ind w:left="709" w:hanging="709"/>
        <w:rPr>
          <w:color w:val="000000" w:themeColor="text1"/>
          <w:sz w:val="24"/>
          <w:szCs w:val="24"/>
        </w:rPr>
      </w:pPr>
      <w:bookmarkStart w:id="3" w:name="_Toc399246821"/>
      <w:r w:rsidRPr="00A84BEE">
        <w:rPr>
          <w:color w:val="000000" w:themeColor="text1"/>
          <w:sz w:val="24"/>
          <w:szCs w:val="24"/>
        </w:rPr>
        <w:t>Confidentialité – droit de propriété exclusive</w:t>
      </w:r>
      <w:r w:rsidR="007C7E32" w:rsidRPr="00A84BEE">
        <w:rPr>
          <w:color w:val="000000" w:themeColor="text1"/>
          <w:sz w:val="24"/>
          <w:szCs w:val="24"/>
        </w:rPr>
        <w:t>-</w:t>
      </w:r>
      <w:r w:rsidR="00631DE5" w:rsidRPr="00A84BEE">
        <w:rPr>
          <w:color w:val="000000" w:themeColor="text1"/>
          <w:sz w:val="24"/>
          <w:szCs w:val="24"/>
        </w:rPr>
        <w:t>m</w:t>
      </w:r>
      <w:r w:rsidR="007C7E32" w:rsidRPr="00A84BEE">
        <w:rPr>
          <w:color w:val="000000" w:themeColor="text1"/>
          <w:sz w:val="24"/>
          <w:szCs w:val="24"/>
        </w:rPr>
        <w:t>atériels mis à disposition</w:t>
      </w:r>
      <w:bookmarkEnd w:id="3"/>
    </w:p>
    <w:p w:rsidR="00492512" w:rsidRPr="00A84BEE" w:rsidRDefault="00307215" w:rsidP="003F3E13">
      <w:pPr>
        <w:pStyle w:val="Paragraphedeliste"/>
        <w:numPr>
          <w:ilvl w:val="1"/>
          <w:numId w:val="1"/>
        </w:numPr>
        <w:ind w:left="709" w:hanging="709"/>
        <w:jc w:val="both"/>
        <w:rPr>
          <w:color w:val="000000" w:themeColor="text1"/>
        </w:rPr>
      </w:pPr>
      <w:r w:rsidRPr="00A84BEE">
        <w:rPr>
          <w:color w:val="000000" w:themeColor="text1"/>
        </w:rPr>
        <w:t>Le fournisseur</w:t>
      </w:r>
      <w:r w:rsidR="00D4105C" w:rsidRPr="00A84BEE">
        <w:rPr>
          <w:color w:val="000000" w:themeColor="text1"/>
        </w:rPr>
        <w:t xml:space="preserve"> s’engage personnellement et pour les personnes dont il répond, à ne révéler à quiconque les informations qu’il recevra ou pourra recueillir à l’occasion d’une commande de </w:t>
      </w:r>
      <w:r w:rsidR="002F6173" w:rsidRPr="00A84BEE">
        <w:rPr>
          <w:color w:val="000000" w:themeColor="text1"/>
        </w:rPr>
        <w:t>l’acheteur</w:t>
      </w:r>
      <w:r w:rsidR="00CC1F71" w:rsidRPr="00A84BEE">
        <w:rPr>
          <w:color w:val="000000" w:themeColor="text1"/>
        </w:rPr>
        <w:t>.</w:t>
      </w:r>
      <w:r w:rsidR="00D4105C" w:rsidRPr="00A84BEE">
        <w:rPr>
          <w:color w:val="000000" w:themeColor="text1"/>
        </w:rPr>
        <w:t xml:space="preserve"> </w:t>
      </w:r>
    </w:p>
    <w:p w:rsidR="00307215" w:rsidRPr="00A84BEE" w:rsidRDefault="00307215" w:rsidP="003F3E13">
      <w:pPr>
        <w:pStyle w:val="Paragraphedeliste"/>
        <w:numPr>
          <w:ilvl w:val="1"/>
          <w:numId w:val="1"/>
        </w:numPr>
        <w:ind w:left="709" w:hanging="709"/>
        <w:jc w:val="both"/>
        <w:rPr>
          <w:color w:val="000000" w:themeColor="text1"/>
        </w:rPr>
      </w:pPr>
      <w:r w:rsidRPr="00A84BEE">
        <w:rPr>
          <w:color w:val="000000" w:themeColor="text1"/>
        </w:rPr>
        <w:t>Le non-respect</w:t>
      </w:r>
      <w:r w:rsidR="00D4105C" w:rsidRPr="00A84BEE">
        <w:rPr>
          <w:color w:val="000000" w:themeColor="text1"/>
        </w:rPr>
        <w:t xml:space="preserve"> de cette obligation entraînera de </w:t>
      </w:r>
      <w:r w:rsidR="002F6173" w:rsidRPr="00A84BEE">
        <w:rPr>
          <w:color w:val="000000" w:themeColor="text1"/>
        </w:rPr>
        <w:t>la</w:t>
      </w:r>
      <w:r w:rsidR="00D4105C" w:rsidRPr="00A84BEE">
        <w:rPr>
          <w:color w:val="000000" w:themeColor="text1"/>
        </w:rPr>
        <w:t xml:space="preserve"> part</w:t>
      </w:r>
      <w:r w:rsidR="002F6173" w:rsidRPr="00A84BEE">
        <w:rPr>
          <w:color w:val="000000" w:themeColor="text1"/>
        </w:rPr>
        <w:t xml:space="preserve"> de l’acheteur</w:t>
      </w:r>
      <w:r w:rsidR="00D4105C" w:rsidRPr="00A84BEE">
        <w:rPr>
          <w:color w:val="000000" w:themeColor="text1"/>
        </w:rPr>
        <w:t>, de plein dro</w:t>
      </w:r>
      <w:r w:rsidR="00F31172" w:rsidRPr="00A84BEE">
        <w:rPr>
          <w:color w:val="000000" w:themeColor="text1"/>
        </w:rPr>
        <w:t>it</w:t>
      </w:r>
      <w:r w:rsidR="00D4105C" w:rsidRPr="00A84BEE">
        <w:rPr>
          <w:color w:val="000000" w:themeColor="text1"/>
        </w:rPr>
        <w:t xml:space="preserve">, la résiliation de toutes </w:t>
      </w:r>
      <w:r w:rsidR="002F6173" w:rsidRPr="00A84BEE">
        <w:rPr>
          <w:color w:val="000000" w:themeColor="text1"/>
        </w:rPr>
        <w:t>les</w:t>
      </w:r>
      <w:r w:rsidR="00D4105C" w:rsidRPr="00A84BEE">
        <w:rPr>
          <w:color w:val="000000" w:themeColor="text1"/>
        </w:rPr>
        <w:t xml:space="preserve"> commandes en cours, </w:t>
      </w:r>
      <w:r w:rsidR="00F31172" w:rsidRPr="00A84BEE">
        <w:rPr>
          <w:color w:val="000000" w:themeColor="text1"/>
        </w:rPr>
        <w:t>et la possibilité de réclamer d</w:t>
      </w:r>
      <w:r w:rsidR="002F6173" w:rsidRPr="00A84BEE">
        <w:rPr>
          <w:color w:val="000000" w:themeColor="text1"/>
        </w:rPr>
        <w:t>es dommages et intérêts</w:t>
      </w:r>
      <w:r w:rsidR="00D4105C" w:rsidRPr="00A84BEE">
        <w:rPr>
          <w:color w:val="000000" w:themeColor="text1"/>
        </w:rPr>
        <w:t>.</w:t>
      </w:r>
    </w:p>
    <w:p w:rsidR="00307215" w:rsidRPr="00A84BEE" w:rsidRDefault="00307215" w:rsidP="003F3E13">
      <w:pPr>
        <w:pStyle w:val="Paragraphedeliste"/>
        <w:numPr>
          <w:ilvl w:val="1"/>
          <w:numId w:val="1"/>
        </w:numPr>
        <w:ind w:left="709" w:hanging="709"/>
        <w:jc w:val="both"/>
        <w:rPr>
          <w:color w:val="000000" w:themeColor="text1"/>
        </w:rPr>
      </w:pPr>
      <w:r w:rsidRPr="00A84BEE">
        <w:rPr>
          <w:color w:val="000000" w:themeColor="text1"/>
        </w:rPr>
        <w:t>Les plans</w:t>
      </w:r>
      <w:r w:rsidR="00D4105C" w:rsidRPr="00A84BEE">
        <w:rPr>
          <w:color w:val="000000" w:themeColor="text1"/>
        </w:rPr>
        <w:t xml:space="preserve">, dessins, cahiers des charges et autres documents, ainsi que les modèles et les outillages confiés pour l’exécution des commandes demeurent </w:t>
      </w:r>
      <w:r w:rsidR="002F6173" w:rsidRPr="00A84BEE">
        <w:rPr>
          <w:color w:val="000000" w:themeColor="text1"/>
        </w:rPr>
        <w:t>la</w:t>
      </w:r>
      <w:r w:rsidR="00D4105C" w:rsidRPr="00A84BEE">
        <w:rPr>
          <w:color w:val="000000" w:themeColor="text1"/>
        </w:rPr>
        <w:t xml:space="preserve"> propriété</w:t>
      </w:r>
      <w:r w:rsidR="002F6173" w:rsidRPr="00A84BEE">
        <w:rPr>
          <w:color w:val="000000" w:themeColor="text1"/>
        </w:rPr>
        <w:t xml:space="preserve"> de l’acheteur</w:t>
      </w:r>
      <w:r w:rsidR="00D4105C" w:rsidRPr="00A84BEE">
        <w:rPr>
          <w:color w:val="000000" w:themeColor="text1"/>
        </w:rPr>
        <w:t xml:space="preserve"> et </w:t>
      </w:r>
      <w:r w:rsidR="002F6173" w:rsidRPr="00A84BEE">
        <w:rPr>
          <w:color w:val="000000" w:themeColor="text1"/>
        </w:rPr>
        <w:t>doivent être restitués</w:t>
      </w:r>
      <w:r w:rsidR="00D95BBF" w:rsidRPr="00A84BEE">
        <w:rPr>
          <w:color w:val="000000" w:themeColor="text1"/>
        </w:rPr>
        <w:t xml:space="preserve"> </w:t>
      </w:r>
      <w:r w:rsidR="00BE5D08" w:rsidRPr="00A84BEE">
        <w:rPr>
          <w:color w:val="000000" w:themeColor="text1"/>
        </w:rPr>
        <w:t>à l’acheteur</w:t>
      </w:r>
      <w:r w:rsidR="00D95BBF" w:rsidRPr="00A84BEE">
        <w:rPr>
          <w:color w:val="000000" w:themeColor="text1"/>
        </w:rPr>
        <w:t xml:space="preserve"> dès l’achèvement de la commande</w:t>
      </w:r>
      <w:r w:rsidR="002F6173" w:rsidRPr="00A84BEE">
        <w:rPr>
          <w:color w:val="000000" w:themeColor="text1"/>
        </w:rPr>
        <w:t xml:space="preserve"> sans avoir été copiés.</w:t>
      </w:r>
      <w:r w:rsidR="007C7E32" w:rsidRPr="00A84BEE">
        <w:rPr>
          <w:color w:val="000000" w:themeColor="text1"/>
        </w:rPr>
        <w:t xml:space="preserve"> Le matériel mis à la disposition du fournisseur pour l’exécution de la commande ou du contrat ser</w:t>
      </w:r>
      <w:r w:rsidR="004E0EF8" w:rsidRPr="00A84BEE">
        <w:rPr>
          <w:color w:val="000000" w:themeColor="text1"/>
        </w:rPr>
        <w:t>a</w:t>
      </w:r>
      <w:r w:rsidR="007C7E32" w:rsidRPr="00A84BEE">
        <w:rPr>
          <w:color w:val="000000" w:themeColor="text1"/>
        </w:rPr>
        <w:t xml:space="preserve"> sous la garde du fournisseur qui souscrira une assurance contre tous dommages pouvant les affecter.</w:t>
      </w:r>
    </w:p>
    <w:p w:rsidR="007C7E32" w:rsidRPr="00A84BEE" w:rsidRDefault="007C7E32" w:rsidP="003F3E13">
      <w:pPr>
        <w:pStyle w:val="Paragraphedeliste"/>
        <w:numPr>
          <w:ilvl w:val="1"/>
          <w:numId w:val="1"/>
        </w:numPr>
        <w:ind w:left="709" w:hanging="709"/>
        <w:jc w:val="both"/>
        <w:rPr>
          <w:color w:val="000000" w:themeColor="text1"/>
        </w:rPr>
      </w:pPr>
      <w:r w:rsidRPr="00A84BEE">
        <w:rPr>
          <w:color w:val="000000" w:themeColor="text1"/>
        </w:rPr>
        <w:lastRenderedPageBreak/>
        <w:t>Le fournisseur sera tenu</w:t>
      </w:r>
      <w:r w:rsidR="00DD5EB4" w:rsidRPr="00A84BEE">
        <w:rPr>
          <w:color w:val="000000" w:themeColor="text1"/>
        </w:rPr>
        <w:t xml:space="preserve"> responsable de tout dommage ou détérioration affectant</w:t>
      </w:r>
      <w:r w:rsidR="00A1074A" w:rsidRPr="00A84BEE">
        <w:rPr>
          <w:color w:val="000000" w:themeColor="text1"/>
        </w:rPr>
        <w:t xml:space="preserve"> le matériel mis à disposition et de son entretien.</w:t>
      </w:r>
    </w:p>
    <w:p w:rsidR="00F43C37" w:rsidRDefault="00307215" w:rsidP="00A10FED">
      <w:pPr>
        <w:pStyle w:val="Paragraphedeliste"/>
        <w:numPr>
          <w:ilvl w:val="1"/>
          <w:numId w:val="1"/>
        </w:numPr>
        <w:ind w:left="709" w:hanging="709"/>
        <w:jc w:val="both"/>
        <w:rPr>
          <w:color w:val="000000" w:themeColor="text1"/>
        </w:rPr>
      </w:pPr>
      <w:r w:rsidRPr="00A84BEE">
        <w:rPr>
          <w:color w:val="000000" w:themeColor="text1"/>
        </w:rPr>
        <w:t xml:space="preserve">Les droits de </w:t>
      </w:r>
      <w:r w:rsidR="00EC24CD" w:rsidRPr="00A84BEE">
        <w:rPr>
          <w:color w:val="000000" w:themeColor="text1"/>
        </w:rPr>
        <w:t>propriété ainsi que</w:t>
      </w:r>
      <w:r w:rsidR="00D4105C" w:rsidRPr="00A84BEE">
        <w:rPr>
          <w:color w:val="000000" w:themeColor="text1"/>
        </w:rPr>
        <w:t xml:space="preserve"> les droits d’auteurs attachés aux conceptions, dessins, échantillons et </w:t>
      </w:r>
      <w:r w:rsidR="002F6173" w:rsidRPr="00A84BEE">
        <w:rPr>
          <w:color w:val="000000" w:themeColor="text1"/>
        </w:rPr>
        <w:t>autres documents livrés par le fournisseur</w:t>
      </w:r>
      <w:r w:rsidR="00A510E8" w:rsidRPr="00A84BEE">
        <w:rPr>
          <w:color w:val="000000" w:themeColor="text1"/>
        </w:rPr>
        <w:t xml:space="preserve"> sur la demande de l’acheteur, deviennent la propriété de ce dernier</w:t>
      </w:r>
      <w:r w:rsidR="00D4105C" w:rsidRPr="00A84BEE">
        <w:rPr>
          <w:color w:val="000000" w:themeColor="text1"/>
        </w:rPr>
        <w:t xml:space="preserve"> et ne sauraient êtr</w:t>
      </w:r>
      <w:r w:rsidR="00EC24CD" w:rsidRPr="00A84BEE">
        <w:rPr>
          <w:color w:val="000000" w:themeColor="text1"/>
        </w:rPr>
        <w:t>e en aucun cas</w:t>
      </w:r>
      <w:r w:rsidR="00D4105C" w:rsidRPr="00A84BEE">
        <w:rPr>
          <w:color w:val="000000" w:themeColor="text1"/>
        </w:rPr>
        <w:t xml:space="preserve"> reproduits</w:t>
      </w:r>
      <w:r w:rsidR="00A510E8" w:rsidRPr="00A84BEE">
        <w:rPr>
          <w:color w:val="000000" w:themeColor="text1"/>
        </w:rPr>
        <w:t xml:space="preserve"> ou divulgués à des tiers sans son </w:t>
      </w:r>
      <w:r w:rsidR="00D4105C" w:rsidRPr="00A84BEE">
        <w:rPr>
          <w:color w:val="000000" w:themeColor="text1"/>
        </w:rPr>
        <w:t>autorisation écrite pr</w:t>
      </w:r>
      <w:r w:rsidR="00A510E8" w:rsidRPr="00A84BEE">
        <w:rPr>
          <w:color w:val="000000" w:themeColor="text1"/>
        </w:rPr>
        <w:t>éalable</w:t>
      </w:r>
      <w:r w:rsidR="00D4105C" w:rsidRPr="00A84BEE">
        <w:rPr>
          <w:color w:val="000000" w:themeColor="text1"/>
        </w:rPr>
        <w:t>.</w:t>
      </w:r>
    </w:p>
    <w:p w:rsidR="00BA6A46" w:rsidRDefault="00BA6A46" w:rsidP="00BA6A46">
      <w:pPr>
        <w:pStyle w:val="Paragraphedeliste"/>
        <w:ind w:left="709"/>
        <w:jc w:val="both"/>
        <w:rPr>
          <w:color w:val="000000" w:themeColor="text1"/>
        </w:rPr>
      </w:pPr>
    </w:p>
    <w:p w:rsidR="00BA6A46" w:rsidRDefault="00BA6A46" w:rsidP="00BA6A46">
      <w:pPr>
        <w:pStyle w:val="Paragraphedeliste"/>
        <w:ind w:left="709"/>
        <w:jc w:val="both"/>
        <w:rPr>
          <w:color w:val="000000" w:themeColor="text1"/>
        </w:rPr>
      </w:pPr>
    </w:p>
    <w:p w:rsidR="00BA6A46" w:rsidRPr="00A84BEE" w:rsidRDefault="00BA6A46" w:rsidP="00BA6A46">
      <w:pPr>
        <w:pStyle w:val="Paragraphedeliste"/>
        <w:ind w:left="709"/>
        <w:jc w:val="both"/>
        <w:rPr>
          <w:color w:val="000000" w:themeColor="text1"/>
        </w:rPr>
      </w:pPr>
    </w:p>
    <w:p w:rsidR="00FC6553" w:rsidRPr="00A84BEE" w:rsidRDefault="00FC6553" w:rsidP="003F3E13">
      <w:pPr>
        <w:pStyle w:val="Conditionsachats"/>
        <w:spacing w:before="300" w:after="120"/>
        <w:ind w:left="709" w:hanging="709"/>
        <w:rPr>
          <w:color w:val="000000" w:themeColor="text1"/>
          <w:sz w:val="24"/>
          <w:szCs w:val="24"/>
        </w:rPr>
      </w:pPr>
      <w:bookmarkStart w:id="4" w:name="_Toc399246822"/>
      <w:r w:rsidRPr="00A84BEE">
        <w:rPr>
          <w:color w:val="000000" w:themeColor="text1"/>
          <w:sz w:val="24"/>
          <w:szCs w:val="24"/>
        </w:rPr>
        <w:t xml:space="preserve">Exécution </w:t>
      </w:r>
      <w:r w:rsidR="00631570" w:rsidRPr="00A84BEE">
        <w:rPr>
          <w:color w:val="000000" w:themeColor="text1"/>
          <w:sz w:val="24"/>
          <w:szCs w:val="24"/>
        </w:rPr>
        <w:t>de la commande</w:t>
      </w:r>
      <w:bookmarkEnd w:id="4"/>
      <w:r w:rsidR="00631570" w:rsidRPr="00A84BEE">
        <w:rPr>
          <w:color w:val="000000" w:themeColor="text1"/>
          <w:sz w:val="24"/>
          <w:szCs w:val="24"/>
        </w:rPr>
        <w:t xml:space="preserve"> </w:t>
      </w:r>
    </w:p>
    <w:p w:rsidR="00492512" w:rsidRPr="00A84BEE" w:rsidRDefault="00307215" w:rsidP="003F3E13">
      <w:pPr>
        <w:pStyle w:val="Paragraphedeliste"/>
        <w:numPr>
          <w:ilvl w:val="1"/>
          <w:numId w:val="1"/>
        </w:numPr>
        <w:ind w:left="709" w:hanging="709"/>
        <w:jc w:val="both"/>
        <w:rPr>
          <w:color w:val="000000" w:themeColor="text1"/>
        </w:rPr>
      </w:pPr>
      <w:r w:rsidRPr="00A84BEE">
        <w:rPr>
          <w:color w:val="000000" w:themeColor="text1"/>
        </w:rPr>
        <w:t>Le fournisseur</w:t>
      </w:r>
      <w:r w:rsidR="00EC24CD" w:rsidRPr="00A84BEE">
        <w:rPr>
          <w:color w:val="000000" w:themeColor="text1"/>
        </w:rPr>
        <w:t xml:space="preserve"> est tenu d’exécuter les commandes qu</w:t>
      </w:r>
      <w:r w:rsidR="00D95BBF" w:rsidRPr="00A84BEE">
        <w:rPr>
          <w:color w:val="000000" w:themeColor="text1"/>
        </w:rPr>
        <w:t>i</w:t>
      </w:r>
      <w:r w:rsidR="00EC24CD" w:rsidRPr="00A84BEE">
        <w:rPr>
          <w:color w:val="000000" w:themeColor="text1"/>
        </w:rPr>
        <w:t xml:space="preserve"> lui </w:t>
      </w:r>
      <w:r w:rsidR="002F6173" w:rsidRPr="00A84BEE">
        <w:rPr>
          <w:color w:val="000000" w:themeColor="text1"/>
        </w:rPr>
        <w:t>sont confié</w:t>
      </w:r>
      <w:r w:rsidR="00D95BBF" w:rsidRPr="00A84BEE">
        <w:rPr>
          <w:color w:val="000000" w:themeColor="text1"/>
        </w:rPr>
        <w:t>e</w:t>
      </w:r>
      <w:r w:rsidR="00EC24CD" w:rsidRPr="00A84BEE">
        <w:rPr>
          <w:color w:val="000000" w:themeColor="text1"/>
        </w:rPr>
        <w:t>s</w:t>
      </w:r>
      <w:r w:rsidR="002F6173" w:rsidRPr="00A84BEE">
        <w:rPr>
          <w:color w:val="000000" w:themeColor="text1"/>
        </w:rPr>
        <w:t xml:space="preserve"> par l’acheteur</w:t>
      </w:r>
      <w:r w:rsidR="001A40EE" w:rsidRPr="00A84BEE">
        <w:rPr>
          <w:color w:val="000000" w:themeColor="text1"/>
        </w:rPr>
        <w:t>. Le transfert d’une de</w:t>
      </w:r>
      <w:r w:rsidR="00EC24CD" w:rsidRPr="00A84BEE">
        <w:rPr>
          <w:color w:val="000000" w:themeColor="text1"/>
        </w:rPr>
        <w:t xml:space="preserve">s commandes à un tiers ne pourra être opéré qu’à la condition expresse que l’acheteur en soit informé et donne son accord préalable par écrit. </w:t>
      </w:r>
    </w:p>
    <w:p w:rsidR="00307215" w:rsidRPr="00A84BEE" w:rsidRDefault="00307215" w:rsidP="003F3E13">
      <w:pPr>
        <w:pStyle w:val="Paragraphedeliste"/>
        <w:numPr>
          <w:ilvl w:val="1"/>
          <w:numId w:val="1"/>
        </w:numPr>
        <w:ind w:left="709" w:hanging="709"/>
        <w:jc w:val="both"/>
        <w:rPr>
          <w:color w:val="000000" w:themeColor="text1"/>
        </w:rPr>
      </w:pPr>
      <w:r w:rsidRPr="00A84BEE">
        <w:rPr>
          <w:color w:val="000000" w:themeColor="text1"/>
        </w:rPr>
        <w:t xml:space="preserve">En cas de </w:t>
      </w:r>
      <w:r w:rsidR="00051C93" w:rsidRPr="00A84BEE">
        <w:rPr>
          <w:color w:val="000000" w:themeColor="text1"/>
        </w:rPr>
        <w:t>non-respect</w:t>
      </w:r>
      <w:r w:rsidR="00EC24CD" w:rsidRPr="00A84BEE">
        <w:rPr>
          <w:color w:val="000000" w:themeColor="text1"/>
        </w:rPr>
        <w:t xml:space="preserve"> de cette disposition, l’acheteur aura le droit d’annuler toute commande en cours ou déjà exécutée, </w:t>
      </w:r>
      <w:r w:rsidR="00B578E1" w:rsidRPr="00A84BEE">
        <w:rPr>
          <w:color w:val="000000" w:themeColor="text1"/>
        </w:rPr>
        <w:t xml:space="preserve">tout en </w:t>
      </w:r>
      <w:r w:rsidR="00A1074A" w:rsidRPr="00A84BEE">
        <w:rPr>
          <w:color w:val="000000" w:themeColor="text1"/>
        </w:rPr>
        <w:t xml:space="preserve">conservant </w:t>
      </w:r>
      <w:r w:rsidR="006D35E2" w:rsidRPr="00A84BEE">
        <w:rPr>
          <w:color w:val="000000" w:themeColor="text1"/>
        </w:rPr>
        <w:t>se</w:t>
      </w:r>
      <w:r w:rsidR="00B578E1" w:rsidRPr="00A84BEE">
        <w:rPr>
          <w:color w:val="000000" w:themeColor="text1"/>
        </w:rPr>
        <w:t>s prétentions à de possibles demandes d’</w:t>
      </w:r>
      <w:r w:rsidR="00A1074A" w:rsidRPr="00A84BEE">
        <w:rPr>
          <w:color w:val="000000" w:themeColor="text1"/>
        </w:rPr>
        <w:t xml:space="preserve">indemnisation et </w:t>
      </w:r>
      <w:r w:rsidR="00B578E1" w:rsidRPr="00A84BEE">
        <w:rPr>
          <w:color w:val="000000" w:themeColor="text1"/>
        </w:rPr>
        <w:t>en dommages.</w:t>
      </w:r>
    </w:p>
    <w:p w:rsidR="00631570" w:rsidRPr="00A84BEE" w:rsidRDefault="00631570" w:rsidP="003F3E13">
      <w:pPr>
        <w:pStyle w:val="Paragraphedeliste"/>
        <w:numPr>
          <w:ilvl w:val="1"/>
          <w:numId w:val="1"/>
        </w:numPr>
        <w:ind w:left="709" w:hanging="709"/>
        <w:jc w:val="both"/>
        <w:rPr>
          <w:color w:val="000000" w:themeColor="text1"/>
        </w:rPr>
      </w:pPr>
      <w:r w:rsidRPr="00A84BEE">
        <w:rPr>
          <w:color w:val="000000" w:themeColor="text1"/>
        </w:rPr>
        <w:t>L’exécution de la commande est assurée par le fournisseur conformément aux règles de l’art, sous sa seule directi</w:t>
      </w:r>
      <w:r w:rsidR="00310EFD">
        <w:rPr>
          <w:color w:val="000000" w:themeColor="text1"/>
        </w:rPr>
        <w:t xml:space="preserve">on et sa seule responsabilité. </w:t>
      </w:r>
      <w:r w:rsidRPr="00A84BEE">
        <w:rPr>
          <w:color w:val="000000" w:themeColor="text1"/>
        </w:rPr>
        <w:t>Au besoin, il attire l’attention de l’acheteur sur tout événement susceptible de nuire à la bonne exécution de la commande, notamment en lui communiquant à tou</w:t>
      </w:r>
      <w:r w:rsidR="00A63F5D" w:rsidRPr="00A84BEE">
        <w:rPr>
          <w:color w:val="000000" w:themeColor="text1"/>
        </w:rPr>
        <w:t>t</w:t>
      </w:r>
      <w:r w:rsidRPr="00A84BEE">
        <w:rPr>
          <w:color w:val="000000" w:themeColor="text1"/>
        </w:rPr>
        <w:t xml:space="preserve"> moment les informations utiles à cet effet.</w:t>
      </w:r>
    </w:p>
    <w:p w:rsidR="00631570" w:rsidRPr="00A84BEE" w:rsidRDefault="00631570" w:rsidP="003F3E13">
      <w:pPr>
        <w:pStyle w:val="Paragraphedeliste"/>
        <w:numPr>
          <w:ilvl w:val="1"/>
          <w:numId w:val="1"/>
        </w:numPr>
        <w:ind w:left="709" w:hanging="709"/>
        <w:jc w:val="both"/>
        <w:rPr>
          <w:color w:val="000000" w:themeColor="text1"/>
        </w:rPr>
      </w:pPr>
      <w:r w:rsidRPr="00A84BEE">
        <w:rPr>
          <w:color w:val="000000" w:themeColor="text1"/>
        </w:rPr>
        <w:t xml:space="preserve">L’acheteur </w:t>
      </w:r>
      <w:r w:rsidR="00F31172" w:rsidRPr="00A84BEE">
        <w:rPr>
          <w:color w:val="000000" w:themeColor="text1"/>
        </w:rPr>
        <w:t>peut demander à avoir accès</w:t>
      </w:r>
      <w:r w:rsidR="0039073A" w:rsidRPr="00A84BEE">
        <w:rPr>
          <w:color w:val="000000" w:themeColor="text1"/>
        </w:rPr>
        <w:t>, aux heures usuelles, aux établissements du fournisseur et ceux de ses sous-traitants pour suivre l’avancement et contrôler l’exécution de la commande. Les contrôles effectués en cours de fabrication ont pour unique but d’informer l’acheteur et ne dégagent pas la responsabilité du fournisseur des vices et non-conformité des biens livrés.</w:t>
      </w:r>
    </w:p>
    <w:p w:rsidR="0039073A" w:rsidRPr="00A84BEE" w:rsidRDefault="0039073A" w:rsidP="003F3E13">
      <w:pPr>
        <w:pStyle w:val="Paragraphedeliste"/>
        <w:numPr>
          <w:ilvl w:val="1"/>
          <w:numId w:val="1"/>
        </w:numPr>
        <w:ind w:left="709" w:hanging="709"/>
        <w:jc w:val="both"/>
        <w:rPr>
          <w:color w:val="000000" w:themeColor="text1"/>
        </w:rPr>
      </w:pPr>
      <w:r w:rsidRPr="00A84BEE">
        <w:rPr>
          <w:color w:val="000000" w:themeColor="text1"/>
        </w:rPr>
        <w:t>L’acheteur peut s’assurer, par toutes vérifications utiles, de la bonne exécution technique de la commande et demander la suspension de tout travail ou exécution non-conforme, que ce soit en vertu des stipulations de la commande ou du non-respect des lois, normes en vigueur</w:t>
      </w:r>
      <w:r w:rsidR="00A224C9" w:rsidRPr="00A84BEE">
        <w:rPr>
          <w:color w:val="000000" w:themeColor="text1"/>
        </w:rPr>
        <w:t>,</w:t>
      </w:r>
      <w:r w:rsidRPr="00A84BEE">
        <w:rPr>
          <w:color w:val="000000" w:themeColor="text1"/>
        </w:rPr>
        <w:t xml:space="preserve"> ou règles de l’art.</w:t>
      </w:r>
    </w:p>
    <w:p w:rsidR="00565BFE" w:rsidRPr="00A84BEE" w:rsidRDefault="00565BFE" w:rsidP="003F3E13">
      <w:pPr>
        <w:pStyle w:val="Conditionsachats"/>
        <w:spacing w:before="300" w:after="120"/>
        <w:ind w:left="709" w:hanging="709"/>
        <w:rPr>
          <w:b w:val="0"/>
          <w:color w:val="000000" w:themeColor="text1"/>
          <w:sz w:val="24"/>
          <w:szCs w:val="24"/>
        </w:rPr>
      </w:pPr>
      <w:bookmarkStart w:id="5" w:name="_Toc399246823"/>
      <w:bookmarkStart w:id="6" w:name="_Toc362874730"/>
      <w:r w:rsidRPr="00A84BEE">
        <w:rPr>
          <w:color w:val="000000" w:themeColor="text1"/>
          <w:sz w:val="24"/>
          <w:szCs w:val="24"/>
        </w:rPr>
        <w:t>Santé, sécurité et hygiène</w:t>
      </w:r>
      <w:bookmarkEnd w:id="5"/>
    </w:p>
    <w:p w:rsidR="00565BFE" w:rsidRPr="00A84BEE" w:rsidRDefault="00E01DFD" w:rsidP="00051C93">
      <w:pPr>
        <w:pStyle w:val="Paragraphedeliste"/>
        <w:numPr>
          <w:ilvl w:val="1"/>
          <w:numId w:val="1"/>
        </w:numPr>
        <w:ind w:left="709" w:hanging="709"/>
        <w:jc w:val="both"/>
        <w:rPr>
          <w:color w:val="000000" w:themeColor="text1"/>
        </w:rPr>
      </w:pPr>
      <w:bookmarkStart w:id="7" w:name="_Toc371420286"/>
      <w:r w:rsidRPr="00A84BEE">
        <w:rPr>
          <w:color w:val="000000" w:themeColor="text1"/>
        </w:rPr>
        <w:t xml:space="preserve">Le fournisseur devra prendre toutes les mesures nécessaires pour garantir la sécurité des personnes et des équipements sur </w:t>
      </w:r>
      <w:r w:rsidR="00A510E8" w:rsidRPr="00A84BEE">
        <w:rPr>
          <w:color w:val="000000" w:themeColor="text1"/>
        </w:rPr>
        <w:t>le site de</w:t>
      </w:r>
      <w:r w:rsidR="00F5479F" w:rsidRPr="00A84BEE">
        <w:rPr>
          <w:color w:val="000000" w:themeColor="text1"/>
        </w:rPr>
        <w:t xml:space="preserve"> l’acheteur</w:t>
      </w:r>
      <w:r w:rsidR="00A510E8" w:rsidRPr="00A84BEE">
        <w:rPr>
          <w:color w:val="000000" w:themeColor="text1"/>
        </w:rPr>
        <w:t>, rue du Stand 63, CH-2800 Delémont</w:t>
      </w:r>
      <w:r w:rsidRPr="00A84BEE">
        <w:rPr>
          <w:color w:val="000000" w:themeColor="text1"/>
        </w:rPr>
        <w:t>. Mise à part le respect de</w:t>
      </w:r>
      <w:r w:rsidR="00A510E8" w:rsidRPr="00A84BEE">
        <w:rPr>
          <w:color w:val="000000" w:themeColor="text1"/>
        </w:rPr>
        <w:t xml:space="preserve"> la législation en vigueur dans le pays de livraison du bien ou de réalisation du service</w:t>
      </w:r>
      <w:r w:rsidRPr="00A84BEE">
        <w:rPr>
          <w:color w:val="000000" w:themeColor="text1"/>
        </w:rPr>
        <w:t xml:space="preserve"> et les règles de la technique en vigueur qui lui sont applicables en matière de santé, séc</w:t>
      </w:r>
      <w:r w:rsidR="00D26FC2">
        <w:rPr>
          <w:color w:val="000000" w:themeColor="text1"/>
        </w:rPr>
        <w:t xml:space="preserve">urité et d’hygiène au travail, </w:t>
      </w:r>
      <w:r w:rsidRPr="00A84BEE">
        <w:rPr>
          <w:color w:val="000000" w:themeColor="text1"/>
        </w:rPr>
        <w:t>le fournisseur, sur le(s) site(s) de l’acheteur, devra observer les règles de santé, de sécurité, et d’hygiène de l’acheteur dont il est tenu de prendre connaissance.</w:t>
      </w:r>
      <w:bookmarkEnd w:id="7"/>
    </w:p>
    <w:p w:rsidR="00E01DFD" w:rsidRPr="00A84BEE" w:rsidRDefault="00E01DFD" w:rsidP="00051C93">
      <w:pPr>
        <w:pStyle w:val="Paragraphedeliste"/>
        <w:numPr>
          <w:ilvl w:val="1"/>
          <w:numId w:val="1"/>
        </w:numPr>
        <w:ind w:left="709" w:hanging="709"/>
        <w:jc w:val="both"/>
        <w:rPr>
          <w:color w:val="000000" w:themeColor="text1"/>
        </w:rPr>
      </w:pPr>
      <w:bookmarkStart w:id="8" w:name="_Toc371420287"/>
      <w:r w:rsidRPr="00A84BEE">
        <w:rPr>
          <w:color w:val="000000" w:themeColor="text1"/>
        </w:rPr>
        <w:t xml:space="preserve">Dans le cadre de chantier ou travaux de montage, le fournisseur </w:t>
      </w:r>
      <w:r w:rsidR="00EF7C0D" w:rsidRPr="00A84BEE">
        <w:rPr>
          <w:color w:val="000000" w:themeColor="text1"/>
        </w:rPr>
        <w:t>doit respecter les n</w:t>
      </w:r>
      <w:r w:rsidR="00DA4CE3" w:rsidRPr="00A84BEE">
        <w:rPr>
          <w:color w:val="000000" w:themeColor="text1"/>
        </w:rPr>
        <w:t xml:space="preserve">ormes de sécurité et d’hygiène </w:t>
      </w:r>
      <w:r w:rsidR="00EF7C0D" w:rsidRPr="00A84BEE">
        <w:rPr>
          <w:color w:val="000000" w:themeColor="text1"/>
        </w:rPr>
        <w:t>e</w:t>
      </w:r>
      <w:r w:rsidR="00DA4CE3" w:rsidRPr="00A84BEE">
        <w:rPr>
          <w:color w:val="000000" w:themeColor="text1"/>
        </w:rPr>
        <w:t>n</w:t>
      </w:r>
      <w:r w:rsidR="00EF7C0D" w:rsidRPr="00A84BEE">
        <w:rPr>
          <w:color w:val="000000" w:themeColor="text1"/>
        </w:rPr>
        <w:t xml:space="preserve"> vigueur.</w:t>
      </w:r>
      <w:bookmarkEnd w:id="8"/>
      <w:r w:rsidR="00A54623" w:rsidRPr="00A84BEE">
        <w:rPr>
          <w:color w:val="000000" w:themeColor="text1"/>
        </w:rPr>
        <w:t xml:space="preserve"> </w:t>
      </w:r>
      <w:r w:rsidRPr="00A84BEE">
        <w:rPr>
          <w:color w:val="000000" w:themeColor="text1"/>
        </w:rPr>
        <w:t xml:space="preserve"> </w:t>
      </w:r>
    </w:p>
    <w:p w:rsidR="00380B1D" w:rsidRPr="00A84BEE" w:rsidRDefault="00380B1D" w:rsidP="00051C93">
      <w:pPr>
        <w:pStyle w:val="Paragraphedeliste"/>
        <w:numPr>
          <w:ilvl w:val="1"/>
          <w:numId w:val="1"/>
        </w:numPr>
        <w:ind w:left="709" w:hanging="709"/>
        <w:jc w:val="both"/>
        <w:rPr>
          <w:color w:val="000000" w:themeColor="text1"/>
        </w:rPr>
      </w:pPr>
      <w:r w:rsidRPr="00A84BEE">
        <w:rPr>
          <w:color w:val="000000" w:themeColor="text1"/>
        </w:rPr>
        <w:lastRenderedPageBreak/>
        <w:t xml:space="preserve">Par ailleurs, dans le cadre de ses livraisons et en sus des indications mentionnées dans le contrat ou la </w:t>
      </w:r>
      <w:r w:rsidR="00D26FC2" w:rsidRPr="00A84BEE">
        <w:rPr>
          <w:color w:val="000000" w:themeColor="text1"/>
        </w:rPr>
        <w:t>commande, le</w:t>
      </w:r>
      <w:r w:rsidRPr="00A84BEE">
        <w:rPr>
          <w:color w:val="000000" w:themeColor="text1"/>
        </w:rPr>
        <w:t xml:space="preserve"> fournisseur veillera à respecter l’état de l’art,</w:t>
      </w:r>
      <w:r w:rsidR="003F3E13" w:rsidRPr="00A84BEE">
        <w:rPr>
          <w:color w:val="000000" w:themeColor="text1"/>
        </w:rPr>
        <w:t xml:space="preserve"> ainsi que </w:t>
      </w:r>
      <w:r w:rsidR="00D26FC2" w:rsidRPr="00A84BEE">
        <w:rPr>
          <w:color w:val="000000" w:themeColor="text1"/>
        </w:rPr>
        <w:t>les prescriptions</w:t>
      </w:r>
      <w:r w:rsidR="003F3E13" w:rsidRPr="00A84BEE">
        <w:rPr>
          <w:color w:val="000000" w:themeColor="text1"/>
        </w:rPr>
        <w:t xml:space="preserve">, </w:t>
      </w:r>
      <w:r w:rsidRPr="00A84BEE">
        <w:rPr>
          <w:color w:val="000000" w:themeColor="text1"/>
        </w:rPr>
        <w:t xml:space="preserve">se rapportant aux exigences de santé et de sécurité affectant le bien livré. Notamment, il se conformera aux normes en </w:t>
      </w:r>
      <w:r w:rsidR="00D26FC2" w:rsidRPr="00A84BEE">
        <w:rPr>
          <w:color w:val="000000" w:themeColor="text1"/>
        </w:rPr>
        <w:t>vigueur DIN</w:t>
      </w:r>
      <w:r w:rsidRPr="00A84BEE">
        <w:rPr>
          <w:color w:val="000000" w:themeColor="text1"/>
        </w:rPr>
        <w:t>, EN, ISO, VDE, et directives CE</w:t>
      </w:r>
      <w:r w:rsidR="00A84BEE" w:rsidRPr="00A84BEE">
        <w:rPr>
          <w:color w:val="000000" w:themeColor="text1"/>
        </w:rPr>
        <w:t xml:space="preserve"> et ROHS</w:t>
      </w:r>
      <w:r w:rsidR="0088522A">
        <w:rPr>
          <w:color w:val="000000" w:themeColor="text1"/>
        </w:rPr>
        <w:t>,</w:t>
      </w:r>
      <w:r w:rsidRPr="00A84BEE">
        <w:rPr>
          <w:color w:val="000000" w:themeColor="text1"/>
        </w:rPr>
        <w:t xml:space="preserve"> ainsi qu’au règlement REACH en matière de restriction des produits chimiques. Le fournisseur se porte garant du respect des normes précitées par ses propres sous-traitants. </w:t>
      </w:r>
    </w:p>
    <w:p w:rsidR="00A10FED" w:rsidRPr="00A84BEE" w:rsidRDefault="00380B1D" w:rsidP="0041653A">
      <w:pPr>
        <w:pStyle w:val="Paragraphedeliste"/>
        <w:numPr>
          <w:ilvl w:val="1"/>
          <w:numId w:val="1"/>
        </w:numPr>
        <w:ind w:left="709" w:hanging="709"/>
        <w:jc w:val="both"/>
        <w:rPr>
          <w:color w:val="000000" w:themeColor="text1"/>
        </w:rPr>
      </w:pPr>
      <w:r w:rsidRPr="00A84BEE">
        <w:rPr>
          <w:color w:val="000000" w:themeColor="text1"/>
        </w:rPr>
        <w:t>Le non-respect de ces règlements et des formalités qui en découlent pourra entraîner l’annulation de la commande, le cas échéant, la suspension des travaux. Le fournisseur s’engage également à réparer tous les préjudices qui en résulteraient.</w:t>
      </w:r>
    </w:p>
    <w:p w:rsidR="00FC6553" w:rsidRPr="00A84BEE" w:rsidRDefault="00FC6553" w:rsidP="003F3E13">
      <w:pPr>
        <w:pStyle w:val="Conditionsachats"/>
        <w:spacing w:before="300" w:after="120"/>
        <w:ind w:left="709" w:hanging="709"/>
        <w:rPr>
          <w:color w:val="000000" w:themeColor="text1"/>
          <w:sz w:val="24"/>
          <w:szCs w:val="24"/>
        </w:rPr>
      </w:pPr>
      <w:bookmarkStart w:id="9" w:name="_Toc399246824"/>
      <w:r w:rsidRPr="00A84BEE">
        <w:rPr>
          <w:color w:val="000000" w:themeColor="text1"/>
          <w:sz w:val="24"/>
          <w:szCs w:val="24"/>
        </w:rPr>
        <w:t>Prix</w:t>
      </w:r>
      <w:bookmarkEnd w:id="6"/>
      <w:bookmarkEnd w:id="9"/>
    </w:p>
    <w:p w:rsidR="005E1F10" w:rsidRPr="00A84BEE" w:rsidRDefault="00307215" w:rsidP="003F3E13">
      <w:pPr>
        <w:pStyle w:val="Paragraphedeliste"/>
        <w:numPr>
          <w:ilvl w:val="1"/>
          <w:numId w:val="1"/>
        </w:numPr>
        <w:ind w:left="709" w:hanging="709"/>
        <w:jc w:val="both"/>
        <w:rPr>
          <w:color w:val="000000" w:themeColor="text1"/>
        </w:rPr>
      </w:pPr>
      <w:r w:rsidRPr="00A84BEE">
        <w:rPr>
          <w:color w:val="000000" w:themeColor="text1"/>
        </w:rPr>
        <w:t>Les prix convenus</w:t>
      </w:r>
      <w:r w:rsidR="00291901" w:rsidRPr="00A84BEE">
        <w:rPr>
          <w:color w:val="000000" w:themeColor="text1"/>
        </w:rPr>
        <w:t xml:space="preserve"> pour une commande sont valables jusqu’à exécution complète de ladite commande. Une réserve du fournisseur quant à une éventuelle modification de prix n’est valable qu’avec l’accord préalable écrit de l’acheteur.</w:t>
      </w:r>
      <w:r w:rsidR="005E1F10" w:rsidRPr="00A84BEE">
        <w:rPr>
          <w:color w:val="000000" w:themeColor="text1"/>
        </w:rPr>
        <w:t xml:space="preserve"> La partie à l’origine d’une demande de modification de prix qui aura été rejeté par l’autre partie à l’issue d’une négociation de bonne foi devra informer l’autre partie, dans les 30 jours de son intention, soit de poursuivre la(les)commande(s)</w:t>
      </w:r>
      <w:r w:rsidR="00310EFD">
        <w:rPr>
          <w:color w:val="000000" w:themeColor="text1"/>
        </w:rPr>
        <w:t>, ou contrat(s</w:t>
      </w:r>
      <w:r w:rsidR="005E1F10" w:rsidRPr="00A84BEE">
        <w:rPr>
          <w:color w:val="000000" w:themeColor="text1"/>
        </w:rPr>
        <w:t>), soit de la dénoncer conformément au point 17.1 des présent</w:t>
      </w:r>
      <w:r w:rsidR="00F31172" w:rsidRPr="00A84BEE">
        <w:rPr>
          <w:color w:val="000000" w:themeColor="text1"/>
        </w:rPr>
        <w:t>e</w:t>
      </w:r>
      <w:r w:rsidR="005E1F10" w:rsidRPr="00A84BEE">
        <w:rPr>
          <w:color w:val="000000" w:themeColor="text1"/>
        </w:rPr>
        <w:t>s CGA, soit de saisir l’autorité compétente en vue de régler le litige</w:t>
      </w:r>
      <w:r w:rsidR="003F3E13" w:rsidRPr="00A84BEE">
        <w:rPr>
          <w:color w:val="000000" w:themeColor="text1"/>
        </w:rPr>
        <w:t xml:space="preserve"> </w:t>
      </w:r>
      <w:r w:rsidR="004F5A92" w:rsidRPr="00A84BEE">
        <w:rPr>
          <w:color w:val="000000" w:themeColor="text1"/>
        </w:rPr>
        <w:t>e</w:t>
      </w:r>
      <w:r w:rsidR="00F31172" w:rsidRPr="00A84BEE">
        <w:rPr>
          <w:color w:val="000000" w:themeColor="text1"/>
        </w:rPr>
        <w:t>n</w:t>
      </w:r>
      <w:r w:rsidR="005E1F10" w:rsidRPr="00A84BEE">
        <w:rPr>
          <w:color w:val="000000" w:themeColor="text1"/>
        </w:rPr>
        <w:t xml:space="preserve">tre les parties. Néanmoins, pendant la négociation et/ou jusqu’à la fin du préavis de dénonciation et/ou jusqu’au prononcé de la décision exécutoire et définitive de </w:t>
      </w:r>
      <w:r w:rsidR="00D26FC2" w:rsidRPr="00A84BEE">
        <w:rPr>
          <w:color w:val="000000" w:themeColor="text1"/>
        </w:rPr>
        <w:t>l’autorité saisie</w:t>
      </w:r>
      <w:r w:rsidR="005E1F10" w:rsidRPr="00A84BEE">
        <w:rPr>
          <w:color w:val="000000" w:themeColor="text1"/>
        </w:rPr>
        <w:t>, la(les) commande(s) et/ou contrats-cadres devront être exécutée aux conditions contractuelles, notamment de prix en vigueur.</w:t>
      </w:r>
    </w:p>
    <w:p w:rsidR="005E1F10" w:rsidRPr="00A84BEE" w:rsidRDefault="005E1F10" w:rsidP="003F3E13">
      <w:pPr>
        <w:pStyle w:val="Paragraphedeliste"/>
        <w:ind w:left="709"/>
        <w:jc w:val="both"/>
        <w:rPr>
          <w:color w:val="000000" w:themeColor="text1"/>
        </w:rPr>
      </w:pPr>
    </w:p>
    <w:p w:rsidR="00307215" w:rsidRPr="00A84BEE" w:rsidRDefault="004407B2" w:rsidP="003F3E13">
      <w:pPr>
        <w:pStyle w:val="Paragraphedeliste"/>
        <w:numPr>
          <w:ilvl w:val="1"/>
          <w:numId w:val="1"/>
        </w:numPr>
        <w:ind w:left="709" w:hanging="709"/>
        <w:jc w:val="both"/>
        <w:rPr>
          <w:color w:val="000000" w:themeColor="text1"/>
        </w:rPr>
      </w:pPr>
      <w:r w:rsidRPr="00A84BEE">
        <w:rPr>
          <w:color w:val="000000" w:themeColor="text1"/>
        </w:rPr>
        <w:t>Les</w:t>
      </w:r>
      <w:r w:rsidR="00307215" w:rsidRPr="00A84BEE">
        <w:rPr>
          <w:color w:val="000000" w:themeColor="text1"/>
        </w:rPr>
        <w:t xml:space="preserve"> prix mentionnés</w:t>
      </w:r>
      <w:r w:rsidR="00291901" w:rsidRPr="00A84BEE">
        <w:rPr>
          <w:color w:val="000000" w:themeColor="text1"/>
        </w:rPr>
        <w:t xml:space="preserve"> sur les commandes incluent toutes les taxes (à l’exclusion de la TVA), contributions, assurances, éléments d’emballage et de protection ainsi que tous les documents, accessoires, équipements et/ou outils adaptés et nécessaires à un</w:t>
      </w:r>
      <w:r w:rsidR="001A40EE" w:rsidRPr="00A84BEE">
        <w:rPr>
          <w:color w:val="000000" w:themeColor="text1"/>
        </w:rPr>
        <w:t>e utilisation et à un entretien</w:t>
      </w:r>
      <w:r w:rsidR="00291901" w:rsidRPr="00A84BEE">
        <w:rPr>
          <w:color w:val="000000" w:themeColor="text1"/>
        </w:rPr>
        <w:t xml:space="preserve"> complets et fonctionnels des biens.</w:t>
      </w:r>
      <w:r w:rsidR="003F3E13" w:rsidRPr="00A84BEE">
        <w:rPr>
          <w:color w:val="000000" w:themeColor="text1"/>
        </w:rPr>
        <w:t xml:space="preserve"> Ils</w:t>
      </w:r>
      <w:r w:rsidR="00291901" w:rsidRPr="00A84BEE">
        <w:rPr>
          <w:color w:val="000000" w:themeColor="text1"/>
        </w:rPr>
        <w:t xml:space="preserve"> inclu</w:t>
      </w:r>
      <w:r w:rsidR="003F3E13" w:rsidRPr="00A84BEE">
        <w:rPr>
          <w:color w:val="000000" w:themeColor="text1"/>
        </w:rPr>
        <w:t>en</w:t>
      </w:r>
      <w:r w:rsidR="00291901" w:rsidRPr="00A84BEE">
        <w:rPr>
          <w:color w:val="000000" w:themeColor="text1"/>
        </w:rPr>
        <w:t xml:space="preserve">t également tous les autres frais encourus par le </w:t>
      </w:r>
      <w:r w:rsidR="001A40EE" w:rsidRPr="00A84BEE">
        <w:rPr>
          <w:color w:val="000000" w:themeColor="text1"/>
        </w:rPr>
        <w:t>fournisseur</w:t>
      </w:r>
      <w:r w:rsidR="00291901" w:rsidRPr="00A84BEE">
        <w:rPr>
          <w:color w:val="000000" w:themeColor="text1"/>
        </w:rPr>
        <w:t xml:space="preserve"> pour l’exécution de la commande ainsi que le paiement pour l’usage de tous droits de propriété industrielle ou intellectuelle, y compris ceux de tiers.</w:t>
      </w:r>
    </w:p>
    <w:p w:rsidR="00FC6553" w:rsidRPr="00A84BEE" w:rsidRDefault="00FC6553" w:rsidP="003F3E13">
      <w:pPr>
        <w:pStyle w:val="Conditionsachats"/>
        <w:spacing w:before="300" w:after="120"/>
        <w:ind w:left="709" w:hanging="709"/>
        <w:rPr>
          <w:color w:val="000000" w:themeColor="text1"/>
          <w:sz w:val="24"/>
          <w:szCs w:val="24"/>
        </w:rPr>
      </w:pPr>
      <w:bookmarkStart w:id="10" w:name="_Toc399246825"/>
      <w:r w:rsidRPr="00A84BEE">
        <w:rPr>
          <w:color w:val="000000" w:themeColor="text1"/>
          <w:sz w:val="24"/>
          <w:szCs w:val="24"/>
        </w:rPr>
        <w:t>Conditions de paiement – facture</w:t>
      </w:r>
      <w:bookmarkEnd w:id="10"/>
    </w:p>
    <w:p w:rsidR="00AA6D83" w:rsidRPr="00A84BEE" w:rsidRDefault="00E427FE" w:rsidP="00AA6D83">
      <w:pPr>
        <w:pStyle w:val="Paragraphedeliste"/>
        <w:numPr>
          <w:ilvl w:val="1"/>
          <w:numId w:val="1"/>
        </w:numPr>
        <w:ind w:left="709" w:hanging="709"/>
        <w:jc w:val="both"/>
        <w:rPr>
          <w:color w:val="000000" w:themeColor="text1"/>
        </w:rPr>
      </w:pPr>
      <w:r w:rsidRPr="00A84BEE">
        <w:rPr>
          <w:color w:val="000000" w:themeColor="text1"/>
        </w:rPr>
        <w:t>Sauf convention</w:t>
      </w:r>
      <w:r w:rsidR="00291901" w:rsidRPr="00A84BEE">
        <w:rPr>
          <w:color w:val="000000" w:themeColor="text1"/>
        </w:rPr>
        <w:t xml:space="preserve"> expressément convenue avec le fourniss</w:t>
      </w:r>
      <w:r w:rsidR="001A40EE" w:rsidRPr="00A84BEE">
        <w:rPr>
          <w:color w:val="000000" w:themeColor="text1"/>
        </w:rPr>
        <w:t xml:space="preserve">eur, </w:t>
      </w:r>
      <w:r w:rsidR="00AA6D83" w:rsidRPr="00A84BEE">
        <w:rPr>
          <w:color w:val="000000" w:themeColor="text1"/>
        </w:rPr>
        <w:t>le règ</w:t>
      </w:r>
      <w:r w:rsidR="00F20899">
        <w:rPr>
          <w:color w:val="000000" w:themeColor="text1"/>
        </w:rPr>
        <w:t>lement des factures se fait à 90 (quatre-vingt-dix</w:t>
      </w:r>
      <w:r w:rsidR="00AA6D83" w:rsidRPr="00A84BEE">
        <w:rPr>
          <w:color w:val="000000" w:themeColor="text1"/>
        </w:rPr>
        <w:t>) jours nets ou à 14 (quatorze) jours calendaires avec 2% d’escompte, par rapport à la date d’</w:t>
      </w:r>
      <w:r w:rsidR="00B63260" w:rsidRPr="00A84BEE">
        <w:rPr>
          <w:color w:val="000000" w:themeColor="text1"/>
        </w:rPr>
        <w:t>émission</w:t>
      </w:r>
      <w:r w:rsidR="00AA6D83" w:rsidRPr="00A84BEE">
        <w:rPr>
          <w:color w:val="000000" w:themeColor="text1"/>
        </w:rPr>
        <w:t xml:space="preserve"> de celles-ci.</w:t>
      </w:r>
    </w:p>
    <w:p w:rsidR="00E427FE" w:rsidRPr="00A84BEE" w:rsidRDefault="00E427FE" w:rsidP="00AA6D83">
      <w:pPr>
        <w:pStyle w:val="Paragraphedeliste"/>
        <w:ind w:left="709"/>
        <w:rPr>
          <w:color w:val="000000" w:themeColor="text1"/>
        </w:rPr>
      </w:pPr>
      <w:r w:rsidRPr="00A84BEE">
        <w:rPr>
          <w:color w:val="000000" w:themeColor="text1"/>
        </w:rPr>
        <w:t>L’acheteur</w:t>
      </w:r>
      <w:r w:rsidR="00291901" w:rsidRPr="00A84BEE">
        <w:rPr>
          <w:color w:val="000000" w:themeColor="text1"/>
        </w:rPr>
        <w:t xml:space="preserve"> se réserve le droit de suspendre le règlement des factures en cas de livraisons de biens déclarés non-conformes lors du contrôle d’entrée ou lors d’une détection ultérieure de la non-conformité. </w:t>
      </w:r>
    </w:p>
    <w:p w:rsidR="00E427FE" w:rsidRPr="00A84BEE" w:rsidRDefault="00A1074A" w:rsidP="003F3E13">
      <w:pPr>
        <w:pStyle w:val="Paragraphedeliste"/>
        <w:numPr>
          <w:ilvl w:val="1"/>
          <w:numId w:val="1"/>
        </w:numPr>
        <w:ind w:left="709" w:hanging="709"/>
        <w:jc w:val="both"/>
        <w:rPr>
          <w:color w:val="000000" w:themeColor="text1"/>
        </w:rPr>
      </w:pPr>
      <w:r w:rsidRPr="00A84BEE">
        <w:rPr>
          <w:color w:val="000000" w:themeColor="text1"/>
        </w:rPr>
        <w:t>L’acceptation de la facture se réalise au moment du contrôle d’entrée, réputé positif.</w:t>
      </w:r>
    </w:p>
    <w:p w:rsidR="00FC6553" w:rsidRPr="00A84BEE" w:rsidRDefault="00FC6553" w:rsidP="003F3E13">
      <w:pPr>
        <w:pStyle w:val="Conditionsachats"/>
        <w:spacing w:before="300" w:after="120"/>
        <w:ind w:left="709" w:hanging="709"/>
        <w:rPr>
          <w:color w:val="000000" w:themeColor="text1"/>
          <w:sz w:val="24"/>
          <w:szCs w:val="24"/>
        </w:rPr>
      </w:pPr>
      <w:bookmarkStart w:id="11" w:name="_Toc399246826"/>
      <w:r w:rsidRPr="00A84BEE">
        <w:rPr>
          <w:color w:val="000000" w:themeColor="text1"/>
          <w:sz w:val="24"/>
          <w:szCs w:val="24"/>
        </w:rPr>
        <w:t>Délai de livraison</w:t>
      </w:r>
      <w:bookmarkEnd w:id="11"/>
    </w:p>
    <w:p w:rsidR="00E427FE" w:rsidRPr="00A84BEE" w:rsidRDefault="00E427FE" w:rsidP="003F3E13">
      <w:pPr>
        <w:pStyle w:val="Paragraphedeliste"/>
        <w:numPr>
          <w:ilvl w:val="1"/>
          <w:numId w:val="1"/>
        </w:numPr>
        <w:ind w:left="709" w:hanging="709"/>
        <w:jc w:val="both"/>
        <w:rPr>
          <w:color w:val="000000" w:themeColor="text1"/>
        </w:rPr>
      </w:pPr>
      <w:r w:rsidRPr="00A84BEE">
        <w:rPr>
          <w:color w:val="000000" w:themeColor="text1"/>
        </w:rPr>
        <w:lastRenderedPageBreak/>
        <w:t xml:space="preserve">La date de </w:t>
      </w:r>
      <w:r w:rsidR="0034776D" w:rsidRPr="00A84BEE">
        <w:rPr>
          <w:color w:val="000000" w:themeColor="text1"/>
        </w:rPr>
        <w:t>livraison confirmée et acceptée par l’acheteur est de rigueur. Elle est celle de la livraison au lieu indiqué par l’acheteur.</w:t>
      </w:r>
    </w:p>
    <w:p w:rsidR="00E427FE" w:rsidRPr="00A84BEE" w:rsidRDefault="00E427FE" w:rsidP="003F3E13">
      <w:pPr>
        <w:pStyle w:val="Paragraphedeliste"/>
        <w:numPr>
          <w:ilvl w:val="1"/>
          <w:numId w:val="1"/>
        </w:numPr>
        <w:ind w:left="709" w:hanging="709"/>
        <w:jc w:val="both"/>
        <w:rPr>
          <w:color w:val="000000" w:themeColor="text1"/>
        </w:rPr>
      </w:pPr>
      <w:r w:rsidRPr="00A84BEE">
        <w:rPr>
          <w:color w:val="000000" w:themeColor="text1"/>
        </w:rPr>
        <w:t>Le fournisseur</w:t>
      </w:r>
      <w:r w:rsidR="00A1074A" w:rsidRPr="00A84BEE">
        <w:rPr>
          <w:color w:val="000000" w:themeColor="text1"/>
        </w:rPr>
        <w:t xml:space="preserve"> </w:t>
      </w:r>
      <w:r w:rsidR="00D26FC2" w:rsidRPr="00A84BEE">
        <w:rPr>
          <w:color w:val="000000" w:themeColor="text1"/>
        </w:rPr>
        <w:t>sera réputé</w:t>
      </w:r>
      <w:r w:rsidR="0034776D" w:rsidRPr="00A84BEE">
        <w:rPr>
          <w:color w:val="000000" w:themeColor="text1"/>
        </w:rPr>
        <w:t xml:space="preserve"> en demeure de livrer </w:t>
      </w:r>
      <w:r w:rsidR="00A1074A" w:rsidRPr="00A84BEE">
        <w:rPr>
          <w:color w:val="000000" w:themeColor="text1"/>
        </w:rPr>
        <w:t xml:space="preserve">à </w:t>
      </w:r>
      <w:r w:rsidR="003F3E13" w:rsidRPr="00A84BEE">
        <w:rPr>
          <w:color w:val="000000" w:themeColor="text1"/>
        </w:rPr>
        <w:t>l’échéance</w:t>
      </w:r>
      <w:r w:rsidR="0034776D" w:rsidRPr="00A84BEE">
        <w:rPr>
          <w:color w:val="000000" w:themeColor="text1"/>
        </w:rPr>
        <w:t>, sans aucune autre formalité.</w:t>
      </w:r>
    </w:p>
    <w:p w:rsidR="00FE5FCD" w:rsidRPr="00A84BEE" w:rsidRDefault="00EF4B3C" w:rsidP="00FE5FCD">
      <w:pPr>
        <w:pStyle w:val="Paragraphedeliste"/>
        <w:numPr>
          <w:ilvl w:val="1"/>
          <w:numId w:val="1"/>
        </w:numPr>
        <w:ind w:left="709" w:hanging="709"/>
        <w:jc w:val="both"/>
        <w:rPr>
          <w:color w:val="000000" w:themeColor="text1"/>
        </w:rPr>
      </w:pPr>
      <w:r w:rsidRPr="00A84BEE">
        <w:rPr>
          <w:color w:val="000000" w:themeColor="text1"/>
        </w:rPr>
        <w:t>En cas de retard de livraison,</w:t>
      </w:r>
      <w:r w:rsidR="00A510E8" w:rsidRPr="00A84BEE">
        <w:rPr>
          <w:color w:val="000000" w:themeColor="text1"/>
        </w:rPr>
        <w:t xml:space="preserve"> le fournisseur se doit</w:t>
      </w:r>
      <w:r w:rsidRPr="00A84BEE">
        <w:rPr>
          <w:color w:val="000000" w:themeColor="text1"/>
        </w:rPr>
        <w:t>:</w:t>
      </w:r>
      <w:r w:rsidR="00A510E8" w:rsidRPr="00A84BEE">
        <w:rPr>
          <w:color w:val="000000" w:themeColor="text1"/>
        </w:rPr>
        <w:tab/>
      </w:r>
      <w:r w:rsidR="00A510E8" w:rsidRPr="00A84BEE">
        <w:rPr>
          <w:color w:val="000000" w:themeColor="text1"/>
        </w:rPr>
        <w:tab/>
      </w:r>
      <w:r w:rsidR="00A510E8" w:rsidRPr="00A84BEE">
        <w:rPr>
          <w:color w:val="000000" w:themeColor="text1"/>
        </w:rPr>
        <w:tab/>
      </w:r>
      <w:r w:rsidR="00A510E8" w:rsidRPr="00A84BEE">
        <w:rPr>
          <w:color w:val="000000" w:themeColor="text1"/>
        </w:rPr>
        <w:tab/>
      </w:r>
      <w:r w:rsidR="00A510E8" w:rsidRPr="00A84BEE">
        <w:rPr>
          <w:color w:val="000000" w:themeColor="text1"/>
        </w:rPr>
        <w:tab/>
      </w:r>
      <w:r w:rsidR="00A510E8" w:rsidRPr="00A84BEE">
        <w:rPr>
          <w:color w:val="000000" w:themeColor="text1"/>
        </w:rPr>
        <w:tab/>
      </w:r>
      <w:r w:rsidR="00A510E8" w:rsidRPr="00A84BEE">
        <w:rPr>
          <w:color w:val="000000" w:themeColor="text1"/>
        </w:rPr>
        <w:tab/>
        <w:t xml:space="preserve">            -  de prévenir </w:t>
      </w:r>
      <w:proofErr w:type="spellStart"/>
      <w:r w:rsidR="00A510E8" w:rsidRPr="00A84BEE">
        <w:rPr>
          <w:color w:val="000000" w:themeColor="text1"/>
        </w:rPr>
        <w:t>proactivement</w:t>
      </w:r>
      <w:proofErr w:type="spellEnd"/>
      <w:r w:rsidR="00A510E8" w:rsidRPr="00A84BEE">
        <w:rPr>
          <w:color w:val="000000" w:themeColor="text1"/>
        </w:rPr>
        <w:t xml:space="preserve"> l’acheteur dès la survenance du problème</w:t>
      </w:r>
      <w:r w:rsidR="00A510E8" w:rsidRPr="00A84BEE">
        <w:rPr>
          <w:color w:val="000000" w:themeColor="text1"/>
        </w:rPr>
        <w:tab/>
      </w:r>
      <w:r w:rsidR="00A510E8" w:rsidRPr="00A84BEE">
        <w:rPr>
          <w:color w:val="000000" w:themeColor="text1"/>
        </w:rPr>
        <w:tab/>
      </w:r>
      <w:r w:rsidR="00A510E8" w:rsidRPr="00A84BEE">
        <w:rPr>
          <w:color w:val="000000" w:themeColor="text1"/>
        </w:rPr>
        <w:tab/>
      </w:r>
      <w:r w:rsidR="00A510E8" w:rsidRPr="00A84BEE">
        <w:rPr>
          <w:color w:val="000000" w:themeColor="text1"/>
        </w:rPr>
        <w:tab/>
      </w:r>
      <w:r w:rsidR="00A510E8" w:rsidRPr="00A84BEE">
        <w:rPr>
          <w:color w:val="000000" w:themeColor="text1"/>
        </w:rPr>
        <w:tab/>
        <w:t xml:space="preserve">            -  de proposer un plan d’action pour résoudre le</w:t>
      </w:r>
      <w:r w:rsidR="0024141E" w:rsidRPr="00A84BEE">
        <w:rPr>
          <w:color w:val="000000" w:themeColor="text1"/>
        </w:rPr>
        <w:t>dit</w:t>
      </w:r>
      <w:r w:rsidR="00A510E8" w:rsidRPr="00A84BEE">
        <w:rPr>
          <w:color w:val="000000" w:themeColor="text1"/>
        </w:rPr>
        <w:t xml:space="preserve"> problème et un nouvel échéancier de livraison</w:t>
      </w:r>
      <w:r w:rsidR="0024141E" w:rsidRPr="00A84BEE">
        <w:rPr>
          <w:color w:val="000000" w:themeColor="text1"/>
        </w:rPr>
        <w:t xml:space="preserve"> respectant au mieux les</w:t>
      </w:r>
      <w:r w:rsidR="00A510E8" w:rsidRPr="00A84BEE">
        <w:rPr>
          <w:color w:val="000000" w:themeColor="text1"/>
        </w:rPr>
        <w:t xml:space="preserve"> contraintes de l’acheteur</w:t>
      </w:r>
      <w:r w:rsidR="00FE5FCD" w:rsidRPr="00A84BEE">
        <w:rPr>
          <w:color w:val="000000" w:themeColor="text1"/>
        </w:rPr>
        <w:t>.</w:t>
      </w:r>
    </w:p>
    <w:p w:rsidR="00FC6553" w:rsidRPr="00A84BEE" w:rsidRDefault="00FC6553" w:rsidP="003F3E13">
      <w:pPr>
        <w:pStyle w:val="Conditionsachats"/>
        <w:spacing w:before="300" w:after="120"/>
        <w:ind w:left="709" w:hanging="709"/>
        <w:rPr>
          <w:color w:val="000000" w:themeColor="text1"/>
          <w:sz w:val="24"/>
          <w:szCs w:val="24"/>
        </w:rPr>
      </w:pPr>
      <w:bookmarkStart w:id="12" w:name="_Toc362874733"/>
      <w:bookmarkStart w:id="13" w:name="_Toc399246827"/>
      <w:r w:rsidRPr="00A84BEE">
        <w:rPr>
          <w:color w:val="000000" w:themeColor="text1"/>
          <w:sz w:val="24"/>
          <w:szCs w:val="24"/>
        </w:rPr>
        <w:t>Garantie – responsabilité</w:t>
      </w:r>
      <w:bookmarkEnd w:id="12"/>
      <w:r w:rsidR="00B87FB3" w:rsidRPr="00A84BEE">
        <w:rPr>
          <w:color w:val="000000" w:themeColor="text1"/>
          <w:sz w:val="24"/>
          <w:szCs w:val="24"/>
        </w:rPr>
        <w:t>-assurance</w:t>
      </w:r>
      <w:bookmarkEnd w:id="13"/>
    </w:p>
    <w:p w:rsidR="003F3E13" w:rsidRPr="00A84BEE" w:rsidRDefault="00E427FE" w:rsidP="003F3E13">
      <w:pPr>
        <w:pStyle w:val="Paragraphedeliste"/>
        <w:numPr>
          <w:ilvl w:val="1"/>
          <w:numId w:val="1"/>
        </w:numPr>
        <w:ind w:left="709" w:hanging="709"/>
        <w:jc w:val="both"/>
        <w:rPr>
          <w:color w:val="000000" w:themeColor="text1"/>
        </w:rPr>
      </w:pPr>
      <w:r w:rsidRPr="00A84BEE">
        <w:rPr>
          <w:color w:val="000000" w:themeColor="text1"/>
        </w:rPr>
        <w:t>Outre</w:t>
      </w:r>
      <w:r w:rsidR="00B1546B" w:rsidRPr="00A84BEE">
        <w:rPr>
          <w:color w:val="000000" w:themeColor="text1"/>
        </w:rPr>
        <w:t xml:space="preserve"> la stricte conformité aux termes de la commande et des documents qui pourraient l’accompagner, aux lois et règlements en vigueur dans le domaine auquel fait référence la commande, ainsi qu’aux dispositions de droit commun régissant les défauts et les vices cachés, le fournisseur garantit un fonctionnement satisfaisant pleinement les exigences de résultats attendues par l’acheteur, durant </w:t>
      </w:r>
      <w:r w:rsidR="00693216" w:rsidRPr="00A84BEE">
        <w:rPr>
          <w:color w:val="000000" w:themeColor="text1"/>
        </w:rPr>
        <w:t>deux ans</w:t>
      </w:r>
      <w:r w:rsidR="00B1546B" w:rsidRPr="00A84BEE">
        <w:rPr>
          <w:color w:val="000000" w:themeColor="text1"/>
        </w:rPr>
        <w:t xml:space="preserve"> à compter de la date d’acceptation pour les composants et produits, et </w:t>
      </w:r>
      <w:r w:rsidR="00693216" w:rsidRPr="00A84BEE">
        <w:rPr>
          <w:color w:val="000000" w:themeColor="text1"/>
        </w:rPr>
        <w:t>durant deux ans</w:t>
      </w:r>
      <w:r w:rsidR="00B1546B" w:rsidRPr="00A84BEE">
        <w:rPr>
          <w:color w:val="000000" w:themeColor="text1"/>
        </w:rPr>
        <w:t xml:space="preserve"> à compter de la date de mise en service pour les équipements.</w:t>
      </w:r>
      <w:r w:rsidR="00680742" w:rsidRPr="00A84BEE">
        <w:rPr>
          <w:color w:val="000000" w:themeColor="text1"/>
        </w:rPr>
        <w:t xml:space="preserve"> La garantie couvrira les frais de pièces et main-d’œuvre. La garantie du </w:t>
      </w:r>
      <w:r w:rsidR="008208C9" w:rsidRPr="00A84BEE">
        <w:rPr>
          <w:color w:val="000000" w:themeColor="text1"/>
        </w:rPr>
        <w:t>f</w:t>
      </w:r>
      <w:r w:rsidR="00680742" w:rsidRPr="00A84BEE">
        <w:rPr>
          <w:color w:val="000000" w:themeColor="text1"/>
        </w:rPr>
        <w:t>ournisseur ne couvre pas les défauts ré</w:t>
      </w:r>
      <w:r w:rsidR="003F3E13" w:rsidRPr="00A84BEE">
        <w:rPr>
          <w:color w:val="000000" w:themeColor="text1"/>
        </w:rPr>
        <w:t>sultant de l'usure normale des b</w:t>
      </w:r>
      <w:r w:rsidR="00680742" w:rsidRPr="00A84BEE">
        <w:rPr>
          <w:color w:val="000000" w:themeColor="text1"/>
        </w:rPr>
        <w:t>iens, d'une utilisation non conforme à la documentation associée ou de négligences d</w:t>
      </w:r>
      <w:r w:rsidR="003F3E13" w:rsidRPr="00A84BEE">
        <w:rPr>
          <w:color w:val="000000" w:themeColor="text1"/>
        </w:rPr>
        <w:t>émontrées de l’a</w:t>
      </w:r>
      <w:r w:rsidR="00680742" w:rsidRPr="00A84BEE">
        <w:rPr>
          <w:color w:val="000000" w:themeColor="text1"/>
        </w:rPr>
        <w:t>cheteur et/ou de son personnel.</w:t>
      </w:r>
    </w:p>
    <w:p w:rsidR="00E427FE" w:rsidRPr="00A84BEE" w:rsidRDefault="00E427FE" w:rsidP="003F3E13">
      <w:pPr>
        <w:pStyle w:val="Paragraphedeliste"/>
        <w:numPr>
          <w:ilvl w:val="1"/>
          <w:numId w:val="1"/>
        </w:numPr>
        <w:ind w:left="709" w:hanging="709"/>
        <w:jc w:val="both"/>
        <w:rPr>
          <w:color w:val="000000" w:themeColor="text1"/>
        </w:rPr>
      </w:pPr>
      <w:r w:rsidRPr="00A84BEE">
        <w:rPr>
          <w:color w:val="000000" w:themeColor="text1"/>
        </w:rPr>
        <w:t>Le fournisseur</w:t>
      </w:r>
      <w:r w:rsidR="00B45F9E" w:rsidRPr="00A84BEE">
        <w:rPr>
          <w:color w:val="000000" w:themeColor="text1"/>
        </w:rPr>
        <w:t xml:space="preserve"> garantit </w:t>
      </w:r>
      <w:r w:rsidR="00CC1F71" w:rsidRPr="00A84BEE">
        <w:rPr>
          <w:color w:val="000000" w:themeColor="text1"/>
        </w:rPr>
        <w:t xml:space="preserve">l’acheteur </w:t>
      </w:r>
      <w:r w:rsidR="00B45F9E" w:rsidRPr="00A84BEE">
        <w:rPr>
          <w:color w:val="000000" w:themeColor="text1"/>
        </w:rPr>
        <w:t>de tout</w:t>
      </w:r>
      <w:r w:rsidR="00E16B52" w:rsidRPr="00A84BEE">
        <w:rPr>
          <w:color w:val="000000" w:themeColor="text1"/>
        </w:rPr>
        <w:t>es</w:t>
      </w:r>
      <w:r w:rsidR="00B45F9E" w:rsidRPr="00A84BEE">
        <w:rPr>
          <w:color w:val="000000" w:themeColor="text1"/>
        </w:rPr>
        <w:t xml:space="preserve"> éviction</w:t>
      </w:r>
      <w:r w:rsidR="00E16B52" w:rsidRPr="00A84BEE">
        <w:rPr>
          <w:color w:val="000000" w:themeColor="text1"/>
        </w:rPr>
        <w:t>s</w:t>
      </w:r>
      <w:r w:rsidR="00B45F9E" w:rsidRPr="00A84BEE">
        <w:rPr>
          <w:color w:val="000000" w:themeColor="text1"/>
        </w:rPr>
        <w:t xml:space="preserve"> ou charges prétendues sur le bien qu’il </w:t>
      </w:r>
      <w:r w:rsidR="008208C9" w:rsidRPr="00A84BEE">
        <w:rPr>
          <w:color w:val="000000" w:themeColor="text1"/>
        </w:rPr>
        <w:t xml:space="preserve">lui </w:t>
      </w:r>
      <w:r w:rsidR="00B45F9E" w:rsidRPr="00A84BEE">
        <w:rPr>
          <w:color w:val="000000" w:themeColor="text1"/>
        </w:rPr>
        <w:t>livre. Il garantit l’acheteur également contre toute</w:t>
      </w:r>
      <w:r w:rsidR="009F28D0" w:rsidRPr="00A84BEE">
        <w:rPr>
          <w:color w:val="000000" w:themeColor="text1"/>
        </w:rPr>
        <w:t>s</w:t>
      </w:r>
      <w:r w:rsidR="00B45F9E" w:rsidRPr="00A84BEE">
        <w:rPr>
          <w:color w:val="000000" w:themeColor="text1"/>
        </w:rPr>
        <w:t xml:space="preserve"> action</w:t>
      </w:r>
      <w:r w:rsidR="009F28D0" w:rsidRPr="00A84BEE">
        <w:rPr>
          <w:color w:val="000000" w:themeColor="text1"/>
        </w:rPr>
        <w:t>s</w:t>
      </w:r>
      <w:r w:rsidR="00B45F9E" w:rsidRPr="00A84BEE">
        <w:rPr>
          <w:color w:val="000000" w:themeColor="text1"/>
        </w:rPr>
        <w:t xml:space="preserve"> d’un tiers en contrefaçon.  Dans pareil cas, il prend en charge</w:t>
      </w:r>
      <w:r w:rsidR="00F31172" w:rsidRPr="00A84BEE">
        <w:rPr>
          <w:color w:val="000000" w:themeColor="text1"/>
        </w:rPr>
        <w:t xml:space="preserve"> l’entière </w:t>
      </w:r>
      <w:r w:rsidR="00051C93" w:rsidRPr="00A84BEE">
        <w:rPr>
          <w:color w:val="000000" w:themeColor="text1"/>
        </w:rPr>
        <w:t>responsabilité</w:t>
      </w:r>
      <w:r w:rsidR="00F31172" w:rsidRPr="00A84BEE">
        <w:rPr>
          <w:color w:val="000000" w:themeColor="text1"/>
        </w:rPr>
        <w:t xml:space="preserve"> </w:t>
      </w:r>
      <w:r w:rsidR="00D26FC2" w:rsidRPr="00A84BEE">
        <w:rPr>
          <w:color w:val="000000" w:themeColor="text1"/>
        </w:rPr>
        <w:t>et les</w:t>
      </w:r>
      <w:r w:rsidR="00F31172" w:rsidRPr="00A84BEE">
        <w:rPr>
          <w:color w:val="000000" w:themeColor="text1"/>
        </w:rPr>
        <w:t xml:space="preserve"> </w:t>
      </w:r>
      <w:r w:rsidR="00B45F9E" w:rsidRPr="00A84BEE">
        <w:rPr>
          <w:color w:val="000000" w:themeColor="text1"/>
        </w:rPr>
        <w:t>dommages et intérêts qui pourraient résulter d’une telle action.</w:t>
      </w:r>
    </w:p>
    <w:p w:rsidR="00E203D0" w:rsidRPr="00A84BEE" w:rsidRDefault="00E427FE" w:rsidP="003F3E13">
      <w:pPr>
        <w:pStyle w:val="Paragraphedeliste"/>
        <w:numPr>
          <w:ilvl w:val="1"/>
          <w:numId w:val="1"/>
        </w:numPr>
        <w:ind w:left="709" w:hanging="709"/>
        <w:jc w:val="both"/>
        <w:rPr>
          <w:color w:val="000000" w:themeColor="text1"/>
        </w:rPr>
      </w:pPr>
      <w:r w:rsidRPr="00A84BEE">
        <w:rPr>
          <w:color w:val="000000" w:themeColor="text1"/>
        </w:rPr>
        <w:t>Des limitations</w:t>
      </w:r>
      <w:r w:rsidR="0003407A" w:rsidRPr="00A84BEE">
        <w:rPr>
          <w:color w:val="000000" w:themeColor="text1"/>
        </w:rPr>
        <w:t xml:space="preserve"> de responsabilité ou de garantie ne sont pas reconnues sous quelque forme que ce soit</w:t>
      </w:r>
      <w:r w:rsidR="008129ED" w:rsidRPr="00A84BEE">
        <w:rPr>
          <w:color w:val="000000" w:themeColor="text1"/>
        </w:rPr>
        <w:t>, sauf accord préalable entre l’acheteur et le fournisseur</w:t>
      </w:r>
      <w:r w:rsidR="0003407A" w:rsidRPr="00A84BEE">
        <w:rPr>
          <w:color w:val="000000" w:themeColor="text1"/>
        </w:rPr>
        <w:t>.</w:t>
      </w:r>
    </w:p>
    <w:p w:rsidR="002044E8" w:rsidRPr="00A84BEE" w:rsidRDefault="002044E8" w:rsidP="003F3E13">
      <w:pPr>
        <w:pStyle w:val="Paragraphedeliste"/>
        <w:numPr>
          <w:ilvl w:val="1"/>
          <w:numId w:val="1"/>
        </w:numPr>
        <w:ind w:left="709" w:hanging="709"/>
        <w:jc w:val="both"/>
        <w:rPr>
          <w:color w:val="000000" w:themeColor="text1"/>
        </w:rPr>
      </w:pPr>
      <w:r w:rsidRPr="00A84BEE">
        <w:rPr>
          <w:color w:val="000000" w:themeColor="text1"/>
        </w:rPr>
        <w:t>Le fournisseur s’engage à indemniser l’acheteur, que ce soit pendant ou après l’exécution du contrat ou de la commande, de tout dommage matériel ou immatériel, subi suite à une non-exécution partielle ou totale ou mauvaise exécution du contrat pour une cause qui lui serait imputable, de toute perte ou dommage qui résulterait d’actes ou d’omissions de la part du fournisseur, ainsi qu’en cas de décès ou tout dommage corporel causé par le fournisseur. La responsabilité comprend celle de ses sous-traitants, partenaires, préposés et agents. L’ind</w:t>
      </w:r>
      <w:r w:rsidR="007D0710" w:rsidRPr="00A84BEE">
        <w:rPr>
          <w:color w:val="000000" w:themeColor="text1"/>
        </w:rPr>
        <w:t>e</w:t>
      </w:r>
      <w:r w:rsidRPr="00A84BEE">
        <w:rPr>
          <w:color w:val="000000" w:themeColor="text1"/>
        </w:rPr>
        <w:t>mnisation</w:t>
      </w:r>
      <w:r w:rsidR="007D0710" w:rsidRPr="00A84BEE">
        <w:rPr>
          <w:color w:val="000000" w:themeColor="text1"/>
        </w:rPr>
        <w:t xml:space="preserve"> visée </w:t>
      </w:r>
      <w:r w:rsidR="00C700A1" w:rsidRPr="00A84BEE">
        <w:rPr>
          <w:color w:val="000000" w:themeColor="text1"/>
        </w:rPr>
        <w:t>ci</w:t>
      </w:r>
      <w:r w:rsidR="007D0710" w:rsidRPr="00A84BEE">
        <w:rPr>
          <w:color w:val="000000" w:themeColor="text1"/>
        </w:rPr>
        <w:t>-dessus s’étend, le cas échéant, aux frais et condamnations consécutives</w:t>
      </w:r>
      <w:r w:rsidR="008129ED" w:rsidRPr="00A84BEE">
        <w:rPr>
          <w:color w:val="000000" w:themeColor="text1"/>
        </w:rPr>
        <w:t>, sauf accord préalable entre l’acheteur et le fournisseur</w:t>
      </w:r>
      <w:r w:rsidR="00AA6D83" w:rsidRPr="00A84BEE">
        <w:rPr>
          <w:color w:val="000000" w:themeColor="text1"/>
        </w:rPr>
        <w:t>.</w:t>
      </w:r>
    </w:p>
    <w:p w:rsidR="00E427FE" w:rsidRPr="00A84BEE" w:rsidRDefault="00E427FE" w:rsidP="003F3E13">
      <w:pPr>
        <w:pStyle w:val="Conditionsachats"/>
        <w:spacing w:before="300" w:after="120"/>
        <w:ind w:left="709" w:hanging="709"/>
        <w:rPr>
          <w:color w:val="000000" w:themeColor="text1"/>
          <w:sz w:val="24"/>
          <w:szCs w:val="24"/>
        </w:rPr>
      </w:pPr>
      <w:bookmarkStart w:id="14" w:name="_Toc399246828"/>
      <w:r w:rsidRPr="00A84BEE">
        <w:rPr>
          <w:color w:val="000000" w:themeColor="text1"/>
          <w:sz w:val="24"/>
          <w:szCs w:val="24"/>
        </w:rPr>
        <w:t>Livraison</w:t>
      </w:r>
      <w:bookmarkEnd w:id="14"/>
    </w:p>
    <w:p w:rsidR="00E427FE" w:rsidRPr="00A84BEE" w:rsidRDefault="00E427FE" w:rsidP="003F3E13">
      <w:pPr>
        <w:pStyle w:val="Paragraphedeliste"/>
        <w:numPr>
          <w:ilvl w:val="1"/>
          <w:numId w:val="1"/>
        </w:numPr>
        <w:ind w:left="709" w:hanging="709"/>
        <w:jc w:val="both"/>
        <w:rPr>
          <w:color w:val="000000" w:themeColor="text1"/>
        </w:rPr>
      </w:pPr>
      <w:r w:rsidRPr="00A84BEE">
        <w:rPr>
          <w:color w:val="000000" w:themeColor="text1"/>
        </w:rPr>
        <w:t>Le fournisseur</w:t>
      </w:r>
      <w:r w:rsidR="0003407A" w:rsidRPr="00A84BEE">
        <w:rPr>
          <w:color w:val="000000" w:themeColor="text1"/>
        </w:rPr>
        <w:t xml:space="preserve"> doit prévenir son service de livraison et ses transporteurs, que</w:t>
      </w:r>
      <w:r w:rsidR="00C8761A" w:rsidRPr="00A84BEE">
        <w:rPr>
          <w:color w:val="000000" w:themeColor="text1"/>
        </w:rPr>
        <w:t>,</w:t>
      </w:r>
      <w:r w:rsidR="0003407A" w:rsidRPr="00A84BEE">
        <w:rPr>
          <w:color w:val="000000" w:themeColor="text1"/>
        </w:rPr>
        <w:t xml:space="preserve"> sauf accords spéciaux préalables, les livraisons s’effectuent durant les horaires de bureau, </w:t>
      </w:r>
      <w:r w:rsidR="00966DB0" w:rsidRPr="00A84BEE">
        <w:rPr>
          <w:color w:val="000000" w:themeColor="text1"/>
        </w:rPr>
        <w:t xml:space="preserve">du lundi au vendredi de </w:t>
      </w:r>
      <w:r w:rsidR="0003407A" w:rsidRPr="00A84BEE">
        <w:rPr>
          <w:color w:val="000000" w:themeColor="text1"/>
        </w:rPr>
        <w:t>8h00-12h00 et 13h15-16h15</w:t>
      </w:r>
      <w:r w:rsidR="00966DB0" w:rsidRPr="00A84BEE">
        <w:rPr>
          <w:color w:val="000000" w:themeColor="text1"/>
        </w:rPr>
        <w:t xml:space="preserve"> </w:t>
      </w:r>
      <w:r w:rsidR="00051C93" w:rsidRPr="00A84BEE">
        <w:rPr>
          <w:color w:val="000000" w:themeColor="text1"/>
        </w:rPr>
        <w:t>(hors</w:t>
      </w:r>
      <w:r w:rsidR="00966DB0" w:rsidRPr="00A84BEE">
        <w:rPr>
          <w:color w:val="000000" w:themeColor="text1"/>
        </w:rPr>
        <w:t xml:space="preserve"> jours fériés et période de fermeture du site)</w:t>
      </w:r>
      <w:r w:rsidR="0003407A" w:rsidRPr="00A84BEE">
        <w:rPr>
          <w:color w:val="000000" w:themeColor="text1"/>
        </w:rPr>
        <w:t>.</w:t>
      </w:r>
    </w:p>
    <w:p w:rsidR="00643D6D" w:rsidRPr="00A84BEE" w:rsidRDefault="00811466" w:rsidP="00F43C37">
      <w:pPr>
        <w:pStyle w:val="Paragraphedeliste"/>
        <w:numPr>
          <w:ilvl w:val="1"/>
          <w:numId w:val="1"/>
        </w:numPr>
        <w:ind w:left="709" w:hanging="709"/>
        <w:jc w:val="both"/>
        <w:rPr>
          <w:color w:val="000000" w:themeColor="text1"/>
        </w:rPr>
      </w:pPr>
      <w:r w:rsidRPr="00A84BEE">
        <w:rPr>
          <w:color w:val="000000" w:themeColor="text1"/>
        </w:rPr>
        <w:t>A des fins d’assignation et d’identification, toute</w:t>
      </w:r>
      <w:r w:rsidR="00E427FE" w:rsidRPr="00A84BEE">
        <w:rPr>
          <w:color w:val="000000" w:themeColor="text1"/>
        </w:rPr>
        <w:t xml:space="preserve"> livraison</w:t>
      </w:r>
      <w:r w:rsidR="0003407A" w:rsidRPr="00A84BEE">
        <w:rPr>
          <w:color w:val="000000" w:themeColor="text1"/>
        </w:rPr>
        <w:t xml:space="preserve"> doit être accompagnée d’un document à l’en-tête du fournisseur, daté, portant la référence de </w:t>
      </w:r>
      <w:r w:rsidR="00454982" w:rsidRPr="00A84BEE">
        <w:rPr>
          <w:color w:val="000000" w:themeColor="text1"/>
        </w:rPr>
        <w:t>la</w:t>
      </w:r>
      <w:r w:rsidR="0003407A" w:rsidRPr="00A84BEE">
        <w:rPr>
          <w:color w:val="000000" w:themeColor="text1"/>
        </w:rPr>
        <w:t xml:space="preserve"> commande </w:t>
      </w:r>
      <w:r w:rsidR="00454982" w:rsidRPr="00A84BEE">
        <w:rPr>
          <w:color w:val="000000" w:themeColor="text1"/>
        </w:rPr>
        <w:t xml:space="preserve">de l’acheteur </w:t>
      </w:r>
      <w:r w:rsidR="0003407A" w:rsidRPr="00A84BEE">
        <w:rPr>
          <w:color w:val="000000" w:themeColor="text1"/>
        </w:rPr>
        <w:t xml:space="preserve">et indiquant le détail des biens livrés, leur poids net, la date d’expédition, le nombre de colis, le numéro tarifaire correspondant au produit lorsqu’il s’agit </w:t>
      </w:r>
      <w:r w:rsidR="0003407A" w:rsidRPr="00A84BEE">
        <w:rPr>
          <w:color w:val="000000" w:themeColor="text1"/>
        </w:rPr>
        <w:lastRenderedPageBreak/>
        <w:t>d’une livraison en provenance de l’étranger et s’il s’agit d’une livraison totale, partielle ou soldant la commande.</w:t>
      </w:r>
    </w:p>
    <w:p w:rsidR="00FC6553" w:rsidRPr="00A84BEE" w:rsidRDefault="00FC6553" w:rsidP="003F3E13">
      <w:pPr>
        <w:pStyle w:val="Conditionsachats"/>
        <w:spacing w:before="300" w:after="120"/>
        <w:ind w:left="709" w:hanging="709"/>
        <w:rPr>
          <w:color w:val="000000" w:themeColor="text1"/>
          <w:sz w:val="24"/>
          <w:szCs w:val="24"/>
        </w:rPr>
      </w:pPr>
      <w:bookmarkStart w:id="15" w:name="_Toc399246829"/>
      <w:r w:rsidRPr="00A84BEE">
        <w:rPr>
          <w:color w:val="000000" w:themeColor="text1"/>
          <w:sz w:val="24"/>
          <w:szCs w:val="24"/>
        </w:rPr>
        <w:t>Réception – acceptation</w:t>
      </w:r>
      <w:bookmarkEnd w:id="15"/>
    </w:p>
    <w:p w:rsidR="00E427FE" w:rsidRPr="00A84BEE" w:rsidRDefault="00E427FE" w:rsidP="003F3E13">
      <w:pPr>
        <w:pStyle w:val="Paragraphedeliste"/>
        <w:numPr>
          <w:ilvl w:val="1"/>
          <w:numId w:val="1"/>
        </w:numPr>
        <w:ind w:left="709" w:hanging="709"/>
        <w:jc w:val="both"/>
        <w:rPr>
          <w:color w:val="000000" w:themeColor="text1"/>
        </w:rPr>
      </w:pPr>
      <w:r w:rsidRPr="00A84BEE">
        <w:rPr>
          <w:color w:val="000000" w:themeColor="text1"/>
        </w:rPr>
        <w:t>Les biens</w:t>
      </w:r>
      <w:r w:rsidR="0003407A" w:rsidRPr="00A84BEE">
        <w:rPr>
          <w:color w:val="000000" w:themeColor="text1"/>
        </w:rPr>
        <w:t xml:space="preserve"> sont vérifiés </w:t>
      </w:r>
      <w:r w:rsidR="003F3E13" w:rsidRPr="00A84BEE">
        <w:rPr>
          <w:color w:val="000000" w:themeColor="text1"/>
        </w:rPr>
        <w:t xml:space="preserve">dans </w:t>
      </w:r>
      <w:r w:rsidR="00AF3D09" w:rsidRPr="00A84BEE">
        <w:rPr>
          <w:color w:val="000000" w:themeColor="text1"/>
        </w:rPr>
        <w:t xml:space="preserve">un délai </w:t>
      </w:r>
      <w:r w:rsidR="00F43C37" w:rsidRPr="00A84BEE">
        <w:rPr>
          <w:color w:val="000000" w:themeColor="text1"/>
        </w:rPr>
        <w:t>20 jours ouvrés</w:t>
      </w:r>
      <w:r w:rsidR="00AF3D09" w:rsidRPr="00A84BEE">
        <w:rPr>
          <w:color w:val="000000" w:themeColor="text1"/>
        </w:rPr>
        <w:t xml:space="preserve"> suivant</w:t>
      </w:r>
      <w:r w:rsidR="009F28D0" w:rsidRPr="00A84BEE">
        <w:rPr>
          <w:color w:val="000000" w:themeColor="text1"/>
        </w:rPr>
        <w:t xml:space="preserve"> la livraison </w:t>
      </w:r>
      <w:r w:rsidR="0003407A" w:rsidRPr="00A84BEE">
        <w:rPr>
          <w:color w:val="000000" w:themeColor="text1"/>
        </w:rPr>
        <w:t>quant à leur conformité aux termes de la commande et aux attentes en termes de résultats qui pourraient figurer dans les doc</w:t>
      </w:r>
      <w:r w:rsidR="009F28D0" w:rsidRPr="00A84BEE">
        <w:rPr>
          <w:color w:val="000000" w:themeColor="text1"/>
        </w:rPr>
        <w:t>uments accompagnant la commande.</w:t>
      </w:r>
      <w:r w:rsidR="00006297" w:rsidRPr="00A84BEE">
        <w:rPr>
          <w:color w:val="000000" w:themeColor="text1"/>
        </w:rPr>
        <w:t xml:space="preserve"> L’acheteur dispose d’un délai </w:t>
      </w:r>
      <w:r w:rsidR="00F43C37" w:rsidRPr="00A84BEE">
        <w:rPr>
          <w:color w:val="000000" w:themeColor="text1"/>
        </w:rPr>
        <w:t>de 20 jours ouvrés</w:t>
      </w:r>
      <w:r w:rsidR="00006297" w:rsidRPr="00A84BEE">
        <w:rPr>
          <w:color w:val="000000" w:themeColor="text1"/>
        </w:rPr>
        <w:t xml:space="preserve"> après la mise en évidence de la non-conformité pour en informer le fournisseur.</w:t>
      </w:r>
      <w:r w:rsidR="00A84BEE" w:rsidRPr="00A84BEE">
        <w:rPr>
          <w:color w:val="000000" w:themeColor="text1"/>
        </w:rPr>
        <w:t xml:space="preserve"> Selon le type de matériel, il peut être exigé un rapport de contrôle du fournisseur ou un certificat de matière.</w:t>
      </w:r>
      <w:r w:rsidR="0088522A">
        <w:rPr>
          <w:color w:val="000000" w:themeColor="text1"/>
        </w:rPr>
        <w:t xml:space="preserve"> Ce contrôle remplit toutes les obligations de vérification et de réclamation.</w:t>
      </w:r>
    </w:p>
    <w:p w:rsidR="003D6092" w:rsidRPr="00A84BEE" w:rsidRDefault="00E427FE" w:rsidP="003F3E13">
      <w:pPr>
        <w:pStyle w:val="Paragraphedeliste"/>
        <w:numPr>
          <w:ilvl w:val="1"/>
          <w:numId w:val="1"/>
        </w:numPr>
        <w:ind w:left="709" w:hanging="709"/>
        <w:jc w:val="both"/>
        <w:rPr>
          <w:color w:val="000000" w:themeColor="text1"/>
        </w:rPr>
      </w:pPr>
      <w:r w:rsidRPr="00A84BEE">
        <w:rPr>
          <w:color w:val="000000" w:themeColor="text1"/>
        </w:rPr>
        <w:t>En présence de non-conformité</w:t>
      </w:r>
      <w:r w:rsidR="003D6092" w:rsidRPr="00A84BEE">
        <w:rPr>
          <w:color w:val="000000" w:themeColor="text1"/>
        </w:rPr>
        <w:t>, l’acheteur signalera les défauts au fournisseur dans le délai mentionné au point 1</w:t>
      </w:r>
      <w:r w:rsidR="00AA60D6" w:rsidRPr="00A84BEE">
        <w:rPr>
          <w:color w:val="000000" w:themeColor="text1"/>
        </w:rPr>
        <w:t>2</w:t>
      </w:r>
      <w:r w:rsidR="003D6092" w:rsidRPr="00A84BEE">
        <w:rPr>
          <w:color w:val="000000" w:themeColor="text1"/>
        </w:rPr>
        <w:t>.1 et sera en droit</w:t>
      </w:r>
      <w:r w:rsidR="00712873" w:rsidRPr="00A84BEE">
        <w:rPr>
          <w:color w:val="000000" w:themeColor="text1"/>
        </w:rPr>
        <w:t>, à son choix</w:t>
      </w:r>
      <w:r w:rsidR="003D6092" w:rsidRPr="00A84BEE">
        <w:rPr>
          <w:color w:val="000000" w:themeColor="text1"/>
        </w:rPr>
        <w:t xml:space="preserve"> :  </w:t>
      </w:r>
    </w:p>
    <w:p w:rsidR="00EC5DD3" w:rsidRPr="00A84BEE" w:rsidRDefault="006D35E2" w:rsidP="003F3E13">
      <w:pPr>
        <w:pStyle w:val="Paragraphedeliste"/>
        <w:numPr>
          <w:ilvl w:val="2"/>
          <w:numId w:val="1"/>
        </w:numPr>
        <w:ind w:left="709" w:hanging="709"/>
        <w:jc w:val="both"/>
        <w:rPr>
          <w:color w:val="000000" w:themeColor="text1"/>
        </w:rPr>
      </w:pPr>
      <w:proofErr w:type="gramStart"/>
      <w:r w:rsidRPr="00A84BEE">
        <w:rPr>
          <w:color w:val="000000" w:themeColor="text1"/>
        </w:rPr>
        <w:t>d</w:t>
      </w:r>
      <w:r w:rsidR="003D6092" w:rsidRPr="00A84BEE">
        <w:rPr>
          <w:color w:val="000000" w:themeColor="text1"/>
        </w:rPr>
        <w:t>e</w:t>
      </w:r>
      <w:proofErr w:type="gramEnd"/>
      <w:r w:rsidR="003D6092" w:rsidRPr="00A84BEE">
        <w:rPr>
          <w:color w:val="000000" w:themeColor="text1"/>
        </w:rPr>
        <w:t xml:space="preserve"> f</w:t>
      </w:r>
      <w:r w:rsidR="00EC5DD3" w:rsidRPr="00A84BEE">
        <w:rPr>
          <w:color w:val="000000" w:themeColor="text1"/>
        </w:rPr>
        <w:t>aire résilier</w:t>
      </w:r>
      <w:r w:rsidR="00454982" w:rsidRPr="00A84BEE">
        <w:rPr>
          <w:color w:val="000000" w:themeColor="text1"/>
        </w:rPr>
        <w:t xml:space="preserve"> l’achat </w:t>
      </w:r>
      <w:r w:rsidR="003D6092" w:rsidRPr="00A84BEE">
        <w:rPr>
          <w:color w:val="000000" w:themeColor="text1"/>
        </w:rPr>
        <w:t>en exerçant s</w:t>
      </w:r>
      <w:r w:rsidR="00454982" w:rsidRPr="00A84BEE">
        <w:rPr>
          <w:color w:val="000000" w:themeColor="text1"/>
        </w:rPr>
        <w:t>es droits, conformément à l’art</w:t>
      </w:r>
      <w:r w:rsidR="003D6092" w:rsidRPr="00A84BEE">
        <w:rPr>
          <w:color w:val="000000" w:themeColor="text1"/>
        </w:rPr>
        <w:t>. 205 du Code des obligations suisse</w:t>
      </w:r>
      <w:r w:rsidRPr="00A84BEE">
        <w:rPr>
          <w:color w:val="000000" w:themeColor="text1"/>
        </w:rPr>
        <w:t> ;</w:t>
      </w:r>
    </w:p>
    <w:p w:rsidR="00EC5DD3" w:rsidRPr="00A84BEE" w:rsidRDefault="006D35E2" w:rsidP="003F3E13">
      <w:pPr>
        <w:pStyle w:val="Paragraphedeliste"/>
        <w:numPr>
          <w:ilvl w:val="2"/>
          <w:numId w:val="1"/>
        </w:numPr>
        <w:ind w:left="709" w:hanging="709"/>
        <w:jc w:val="both"/>
        <w:rPr>
          <w:color w:val="000000" w:themeColor="text1"/>
        </w:rPr>
      </w:pPr>
      <w:proofErr w:type="gramStart"/>
      <w:r w:rsidRPr="00A84BEE">
        <w:rPr>
          <w:color w:val="000000" w:themeColor="text1"/>
        </w:rPr>
        <w:t>d</w:t>
      </w:r>
      <w:r w:rsidR="00EC5DD3" w:rsidRPr="00A84BEE">
        <w:rPr>
          <w:color w:val="000000" w:themeColor="text1"/>
        </w:rPr>
        <w:t>’accepter</w:t>
      </w:r>
      <w:proofErr w:type="gramEnd"/>
      <w:r w:rsidR="003D6092" w:rsidRPr="00A84BEE">
        <w:rPr>
          <w:color w:val="000000" w:themeColor="text1"/>
        </w:rPr>
        <w:t xml:space="preserve"> </w:t>
      </w:r>
      <w:r w:rsidR="00712873" w:rsidRPr="00A84BEE">
        <w:rPr>
          <w:color w:val="000000" w:themeColor="text1"/>
        </w:rPr>
        <w:t>lesdits</w:t>
      </w:r>
      <w:r w:rsidR="003D6092" w:rsidRPr="00A84BEE">
        <w:rPr>
          <w:color w:val="000000" w:themeColor="text1"/>
        </w:rPr>
        <w:t xml:space="preserve"> biens en contrepartie d’une réduction </w:t>
      </w:r>
      <w:r w:rsidR="00712873" w:rsidRPr="00A84BEE">
        <w:rPr>
          <w:color w:val="000000" w:themeColor="text1"/>
        </w:rPr>
        <w:t>du prix pour la moins-value</w:t>
      </w:r>
      <w:r w:rsidRPr="00A84BEE">
        <w:rPr>
          <w:color w:val="000000" w:themeColor="text1"/>
        </w:rPr>
        <w:t> ;</w:t>
      </w:r>
    </w:p>
    <w:p w:rsidR="00EC5DD3" w:rsidRPr="00A84BEE" w:rsidRDefault="006D35E2" w:rsidP="003F3E13">
      <w:pPr>
        <w:pStyle w:val="Paragraphedeliste"/>
        <w:numPr>
          <w:ilvl w:val="2"/>
          <w:numId w:val="1"/>
        </w:numPr>
        <w:ind w:left="709" w:hanging="709"/>
        <w:jc w:val="both"/>
        <w:rPr>
          <w:color w:val="000000" w:themeColor="text1"/>
        </w:rPr>
      </w:pPr>
      <w:proofErr w:type="gramStart"/>
      <w:r w:rsidRPr="00A84BEE">
        <w:rPr>
          <w:color w:val="000000" w:themeColor="text1"/>
        </w:rPr>
        <w:t>d</w:t>
      </w:r>
      <w:r w:rsidR="00EC5DD3" w:rsidRPr="00A84BEE">
        <w:rPr>
          <w:color w:val="000000" w:themeColor="text1"/>
        </w:rPr>
        <w:t>e</w:t>
      </w:r>
      <w:proofErr w:type="gramEnd"/>
      <w:r w:rsidR="00EC5DD3" w:rsidRPr="00A84BEE">
        <w:rPr>
          <w:color w:val="000000" w:themeColor="text1"/>
        </w:rPr>
        <w:t xml:space="preserve"> refuser</w:t>
      </w:r>
      <w:r w:rsidR="003D6092" w:rsidRPr="00A84BEE">
        <w:rPr>
          <w:color w:val="000000" w:themeColor="text1"/>
        </w:rPr>
        <w:t xml:space="preserve"> les biens non-conformes et </w:t>
      </w:r>
      <w:r w:rsidR="00966DB0" w:rsidRPr="00A84BEE">
        <w:rPr>
          <w:color w:val="000000" w:themeColor="text1"/>
        </w:rPr>
        <w:t>de faire procéder par le fournisseur à</w:t>
      </w:r>
      <w:r w:rsidR="003D6092" w:rsidRPr="00A84BEE">
        <w:rPr>
          <w:color w:val="000000" w:themeColor="text1"/>
        </w:rPr>
        <w:t xml:space="preserve"> la livraison de biens de remplacement jugés équivalents dans un délai convenu, ou à la mise en conformité de ces biens </w:t>
      </w:r>
      <w:r w:rsidR="0068601D" w:rsidRPr="00A84BEE">
        <w:rPr>
          <w:color w:val="000000" w:themeColor="text1"/>
        </w:rPr>
        <w:t>par le fournisseur,</w:t>
      </w:r>
      <w:r w:rsidR="00C13CE1" w:rsidRPr="00A84BEE">
        <w:rPr>
          <w:color w:val="000000" w:themeColor="text1"/>
        </w:rPr>
        <w:t xml:space="preserve"> par</w:t>
      </w:r>
      <w:r w:rsidR="0068601D" w:rsidRPr="00A84BEE">
        <w:rPr>
          <w:color w:val="000000" w:themeColor="text1"/>
        </w:rPr>
        <w:t xml:space="preserve"> </w:t>
      </w:r>
      <w:r w:rsidR="00F5479F" w:rsidRPr="00A84BEE">
        <w:rPr>
          <w:color w:val="000000" w:themeColor="text1"/>
        </w:rPr>
        <w:t>l’acheteur</w:t>
      </w:r>
      <w:r w:rsidR="00C13CE1" w:rsidRPr="00A84BEE">
        <w:rPr>
          <w:color w:val="000000" w:themeColor="text1"/>
        </w:rPr>
        <w:t xml:space="preserve"> ou par un t</w:t>
      </w:r>
      <w:r w:rsidR="0068601D" w:rsidRPr="00A84BEE">
        <w:rPr>
          <w:color w:val="000000" w:themeColor="text1"/>
        </w:rPr>
        <w:t xml:space="preserve">iers </w:t>
      </w:r>
      <w:r w:rsidR="003D6092" w:rsidRPr="00A84BEE">
        <w:rPr>
          <w:color w:val="000000" w:themeColor="text1"/>
        </w:rPr>
        <w:t>au</w:t>
      </w:r>
      <w:r w:rsidR="00454982" w:rsidRPr="00A84BEE">
        <w:rPr>
          <w:color w:val="000000" w:themeColor="text1"/>
        </w:rPr>
        <w:t>x</w:t>
      </w:r>
      <w:r w:rsidR="003D6092" w:rsidRPr="00A84BEE">
        <w:rPr>
          <w:color w:val="000000" w:themeColor="text1"/>
        </w:rPr>
        <w:t xml:space="preserve"> frais et risques du fournisseur dans un délai convenu. </w:t>
      </w:r>
    </w:p>
    <w:p w:rsidR="00EC5DD3" w:rsidRPr="00A84BEE" w:rsidRDefault="00EC5DD3" w:rsidP="003F3E13">
      <w:pPr>
        <w:pStyle w:val="Paragraphedeliste"/>
        <w:numPr>
          <w:ilvl w:val="1"/>
          <w:numId w:val="1"/>
        </w:numPr>
        <w:ind w:left="709" w:hanging="709"/>
        <w:jc w:val="both"/>
        <w:rPr>
          <w:color w:val="000000" w:themeColor="text1"/>
        </w:rPr>
      </w:pPr>
      <w:r w:rsidRPr="00A84BEE">
        <w:rPr>
          <w:color w:val="000000" w:themeColor="text1"/>
        </w:rPr>
        <w:t>Aucune inspection</w:t>
      </w:r>
      <w:r w:rsidR="0032696A" w:rsidRPr="00A84BEE">
        <w:rPr>
          <w:color w:val="000000" w:themeColor="text1"/>
        </w:rPr>
        <w:t xml:space="preserve">, approbation ou acceptation des biens ne pourra libérer le </w:t>
      </w:r>
      <w:r w:rsidR="00454982" w:rsidRPr="00A84BEE">
        <w:rPr>
          <w:color w:val="000000" w:themeColor="text1"/>
        </w:rPr>
        <w:t>fournisseur</w:t>
      </w:r>
      <w:r w:rsidR="0032696A" w:rsidRPr="00A84BEE">
        <w:rPr>
          <w:color w:val="000000" w:themeColor="text1"/>
        </w:rPr>
        <w:t xml:space="preserve"> de sa responsabilité du fait de défauts et manquements aux termes de la commande et des documents qui peuvent l’</w:t>
      </w:r>
      <w:r w:rsidR="008A642C" w:rsidRPr="00A84BEE">
        <w:rPr>
          <w:color w:val="000000" w:themeColor="text1"/>
        </w:rPr>
        <w:t>accompagner</w:t>
      </w:r>
      <w:r w:rsidR="0032696A" w:rsidRPr="00A84BEE">
        <w:rPr>
          <w:color w:val="000000" w:themeColor="text1"/>
        </w:rPr>
        <w:t>. Si des défa</w:t>
      </w:r>
      <w:r w:rsidR="000E2AA9" w:rsidRPr="00A84BEE">
        <w:rPr>
          <w:color w:val="000000" w:themeColor="text1"/>
        </w:rPr>
        <w:t>uts se révèlent ultérieurement,</w:t>
      </w:r>
      <w:r w:rsidR="0032696A" w:rsidRPr="00A84BEE">
        <w:rPr>
          <w:color w:val="000000" w:themeColor="text1"/>
        </w:rPr>
        <w:t xml:space="preserve"> le fournisseur sera tenu responsable des défauts découverts</w:t>
      </w:r>
      <w:r w:rsidR="00E52DCE" w:rsidRPr="00A84BEE">
        <w:rPr>
          <w:color w:val="000000" w:themeColor="text1"/>
        </w:rPr>
        <w:t>, conformément au point 10.4 des présentes CGA</w:t>
      </w:r>
      <w:r w:rsidR="0032696A" w:rsidRPr="00A84BEE">
        <w:rPr>
          <w:color w:val="000000" w:themeColor="text1"/>
        </w:rPr>
        <w:t xml:space="preserve">. L’acheteur les signalera au fournisseur </w:t>
      </w:r>
      <w:r w:rsidR="00C9185D" w:rsidRPr="00A84BEE">
        <w:rPr>
          <w:color w:val="000000" w:themeColor="text1"/>
        </w:rPr>
        <w:t xml:space="preserve">dans les </w:t>
      </w:r>
      <w:r w:rsidR="00F43C37" w:rsidRPr="00A84BEE">
        <w:rPr>
          <w:color w:val="000000" w:themeColor="text1"/>
        </w:rPr>
        <w:t>20 jours ouvrés</w:t>
      </w:r>
      <w:r w:rsidR="00543285" w:rsidRPr="00A84BEE">
        <w:rPr>
          <w:color w:val="000000" w:themeColor="text1"/>
        </w:rPr>
        <w:t xml:space="preserve"> dès leur découverte</w:t>
      </w:r>
      <w:r w:rsidR="0032696A" w:rsidRPr="00A84BEE">
        <w:rPr>
          <w:color w:val="000000" w:themeColor="text1"/>
        </w:rPr>
        <w:t xml:space="preserve"> et pourra faire valoir les droits mentionnés au point </w:t>
      </w:r>
      <w:r w:rsidR="00C8761A" w:rsidRPr="00A84BEE">
        <w:rPr>
          <w:color w:val="000000" w:themeColor="text1"/>
        </w:rPr>
        <w:t>1</w:t>
      </w:r>
      <w:r w:rsidR="00E52DCE" w:rsidRPr="00A84BEE">
        <w:rPr>
          <w:color w:val="000000" w:themeColor="text1"/>
        </w:rPr>
        <w:t>2</w:t>
      </w:r>
      <w:r w:rsidR="00C8761A" w:rsidRPr="00A84BEE">
        <w:rPr>
          <w:color w:val="000000" w:themeColor="text1"/>
        </w:rPr>
        <w:t>.2.1/2/3</w:t>
      </w:r>
      <w:r w:rsidR="00E52DCE" w:rsidRPr="00A84BEE">
        <w:rPr>
          <w:b/>
          <w:color w:val="000000" w:themeColor="text1"/>
        </w:rPr>
        <w:t xml:space="preserve"> </w:t>
      </w:r>
      <w:r w:rsidR="00E52DCE" w:rsidRPr="00A84BEE">
        <w:rPr>
          <w:color w:val="000000" w:themeColor="text1"/>
        </w:rPr>
        <w:t>des présentes CGA.</w:t>
      </w:r>
    </w:p>
    <w:p w:rsidR="00EC5DD3" w:rsidRPr="00A84BEE" w:rsidRDefault="00EC5DD3" w:rsidP="003F3E13">
      <w:pPr>
        <w:pStyle w:val="Paragraphedeliste"/>
        <w:numPr>
          <w:ilvl w:val="1"/>
          <w:numId w:val="1"/>
        </w:numPr>
        <w:ind w:left="709" w:hanging="709"/>
        <w:jc w:val="both"/>
        <w:rPr>
          <w:color w:val="000000" w:themeColor="text1"/>
        </w:rPr>
      </w:pPr>
      <w:r w:rsidRPr="00A84BEE">
        <w:rPr>
          <w:color w:val="000000" w:themeColor="text1"/>
        </w:rPr>
        <w:t>Dans tous les cas</w:t>
      </w:r>
      <w:r w:rsidR="0032696A" w:rsidRPr="00A84BEE">
        <w:rPr>
          <w:color w:val="000000" w:themeColor="text1"/>
        </w:rPr>
        <w:t xml:space="preserve"> de figure mentionnés ci-dessus, l’acheteur se réserve le droit de demander des dommages et </w:t>
      </w:r>
      <w:r w:rsidR="008A642C" w:rsidRPr="00A84BEE">
        <w:rPr>
          <w:color w:val="000000" w:themeColor="text1"/>
        </w:rPr>
        <w:t>intérêts</w:t>
      </w:r>
      <w:r w:rsidR="0032696A" w:rsidRPr="00A84BEE">
        <w:rPr>
          <w:color w:val="000000" w:themeColor="text1"/>
        </w:rPr>
        <w:t xml:space="preserve"> pour les préjudices subis conformément aux dispositions du droit en la matière.</w:t>
      </w:r>
    </w:p>
    <w:p w:rsidR="00AE3587" w:rsidRPr="00A84BEE" w:rsidRDefault="00D26FC2" w:rsidP="00D26FC2">
      <w:pPr>
        <w:ind w:left="705" w:hanging="705"/>
        <w:jc w:val="both"/>
        <w:rPr>
          <w:color w:val="000000" w:themeColor="text1"/>
        </w:rPr>
      </w:pPr>
      <w:r w:rsidRPr="00A84BEE">
        <w:rPr>
          <w:color w:val="000000" w:themeColor="text1"/>
        </w:rPr>
        <w:t xml:space="preserve">12.5 </w:t>
      </w:r>
      <w:r>
        <w:rPr>
          <w:color w:val="000000" w:themeColor="text1"/>
        </w:rPr>
        <w:tab/>
      </w:r>
      <w:r>
        <w:rPr>
          <w:color w:val="000000" w:themeColor="text1"/>
        </w:rPr>
        <w:tab/>
      </w:r>
      <w:r w:rsidRPr="00A84BEE">
        <w:rPr>
          <w:color w:val="000000" w:themeColor="text1"/>
        </w:rPr>
        <w:t>Pour</w:t>
      </w:r>
      <w:r w:rsidR="00C91D1A" w:rsidRPr="00A84BEE">
        <w:rPr>
          <w:color w:val="000000" w:themeColor="text1"/>
        </w:rPr>
        <w:t xml:space="preserve"> chaque réc</w:t>
      </w:r>
      <w:r w:rsidR="00482758" w:rsidRPr="00A84BEE">
        <w:rPr>
          <w:color w:val="000000" w:themeColor="text1"/>
        </w:rPr>
        <w:t>lamation faite par l’acheteur,</w:t>
      </w:r>
      <w:r w:rsidR="00C91D1A" w:rsidRPr="00A84BEE">
        <w:rPr>
          <w:color w:val="000000" w:themeColor="text1"/>
        </w:rPr>
        <w:t xml:space="preserve"> le fournisseur se doit de donner une suite conforme aux exigences de l’avis de non-conformité. </w:t>
      </w:r>
    </w:p>
    <w:p w:rsidR="006D35E2" w:rsidRPr="00A84BEE" w:rsidRDefault="00643D6D" w:rsidP="00BA6A46">
      <w:pPr>
        <w:ind w:left="567" w:hanging="567"/>
        <w:jc w:val="both"/>
        <w:rPr>
          <w:color w:val="000000" w:themeColor="text1"/>
        </w:rPr>
      </w:pPr>
      <w:r w:rsidRPr="00A84BEE">
        <w:rPr>
          <w:color w:val="000000" w:themeColor="text1"/>
        </w:rPr>
        <w:t>1</w:t>
      </w:r>
      <w:r w:rsidR="00BC3218" w:rsidRPr="00A84BEE">
        <w:rPr>
          <w:color w:val="000000" w:themeColor="text1"/>
        </w:rPr>
        <w:t>2</w:t>
      </w:r>
      <w:r w:rsidRPr="00A84BEE">
        <w:rPr>
          <w:color w:val="000000" w:themeColor="text1"/>
        </w:rPr>
        <w:t xml:space="preserve">.6 </w:t>
      </w:r>
      <w:r w:rsidRPr="00A84BEE">
        <w:rPr>
          <w:color w:val="000000" w:themeColor="text1"/>
        </w:rPr>
        <w:tab/>
        <w:t xml:space="preserve">Si le fournisseur constate des défauts qui concernent des </w:t>
      </w:r>
      <w:r w:rsidR="00966DB0" w:rsidRPr="00A84BEE">
        <w:rPr>
          <w:color w:val="000000" w:themeColor="text1"/>
        </w:rPr>
        <w:t>b</w:t>
      </w:r>
      <w:r w:rsidR="00DB0320" w:rsidRPr="00A84BEE">
        <w:rPr>
          <w:color w:val="000000" w:themeColor="text1"/>
        </w:rPr>
        <w:t>iens</w:t>
      </w:r>
      <w:r w:rsidRPr="00A84BEE">
        <w:rPr>
          <w:color w:val="000000" w:themeColor="text1"/>
        </w:rPr>
        <w:t xml:space="preserve"> déjà livrés, il se doit d’en informer immédiatement le service responsable de la qualité de l’acheteur.</w:t>
      </w:r>
    </w:p>
    <w:p w:rsidR="00FC6553" w:rsidRPr="00A84BEE" w:rsidRDefault="00FC6553" w:rsidP="003F3E13">
      <w:pPr>
        <w:pStyle w:val="Conditionsachats"/>
        <w:spacing w:before="300" w:after="120"/>
        <w:ind w:left="709" w:hanging="709"/>
        <w:rPr>
          <w:color w:val="000000" w:themeColor="text1"/>
          <w:sz w:val="24"/>
          <w:szCs w:val="24"/>
        </w:rPr>
      </w:pPr>
      <w:bookmarkStart w:id="16" w:name="_Toc399246830"/>
      <w:r w:rsidRPr="00A84BEE">
        <w:rPr>
          <w:color w:val="000000" w:themeColor="text1"/>
          <w:sz w:val="24"/>
          <w:szCs w:val="24"/>
        </w:rPr>
        <w:t>Documentation technique et manuel d’utilisation de maintenance</w:t>
      </w:r>
      <w:bookmarkEnd w:id="16"/>
    </w:p>
    <w:p w:rsidR="005E4403" w:rsidRPr="00A84BEE" w:rsidRDefault="008A642C" w:rsidP="003F3E13">
      <w:pPr>
        <w:pStyle w:val="Paragraphedeliste"/>
        <w:ind w:left="709"/>
        <w:jc w:val="both"/>
        <w:rPr>
          <w:color w:val="000000" w:themeColor="text1"/>
        </w:rPr>
      </w:pPr>
      <w:r w:rsidRPr="00A84BEE">
        <w:rPr>
          <w:color w:val="000000" w:themeColor="text1"/>
        </w:rPr>
        <w:t xml:space="preserve">Le </w:t>
      </w:r>
      <w:r w:rsidR="00454982" w:rsidRPr="00A84BEE">
        <w:rPr>
          <w:color w:val="000000" w:themeColor="text1"/>
        </w:rPr>
        <w:t>fournisseur</w:t>
      </w:r>
      <w:r w:rsidRPr="00A84BEE">
        <w:rPr>
          <w:color w:val="000000" w:themeColor="text1"/>
        </w:rPr>
        <w:t xml:space="preserve"> devra fournir à l’acheteur, dans les délais convenus </w:t>
      </w:r>
      <w:r w:rsidR="00A1074A" w:rsidRPr="00A84BEE">
        <w:rPr>
          <w:color w:val="000000" w:themeColor="text1"/>
        </w:rPr>
        <w:t xml:space="preserve">sur la commande </w:t>
      </w:r>
      <w:r w:rsidRPr="00A84BEE">
        <w:rPr>
          <w:color w:val="000000" w:themeColor="text1"/>
        </w:rPr>
        <w:t>ou au plus tard lors de la livraison des biens, toute la documentation technique relative aux biens comprenant le(s) manuel(s) d’utilisation et de maintenance, le(s) manuel(s) de formation, dessin(s), fiche(s) de données techniques, fiche(s) de sécurité produit, certificat(</w:t>
      </w:r>
      <w:r w:rsidR="00D26FC2" w:rsidRPr="00A84BEE">
        <w:rPr>
          <w:color w:val="000000" w:themeColor="text1"/>
        </w:rPr>
        <w:t>s) d’inspection</w:t>
      </w:r>
      <w:r w:rsidRPr="00A84BEE">
        <w:rPr>
          <w:color w:val="000000" w:themeColor="text1"/>
        </w:rPr>
        <w:t>, certificat(s) de conformité et toute autre documentation utile. Sauf indication contraire mentionné</w:t>
      </w:r>
      <w:r w:rsidR="00454982" w:rsidRPr="00A84BEE">
        <w:rPr>
          <w:color w:val="000000" w:themeColor="text1"/>
        </w:rPr>
        <w:t>e</w:t>
      </w:r>
      <w:r w:rsidRPr="00A84BEE">
        <w:rPr>
          <w:color w:val="000000" w:themeColor="text1"/>
        </w:rPr>
        <w:t xml:space="preserve"> dans la commande, la livraison de logiciels ou de biens comprenant des </w:t>
      </w:r>
      <w:r w:rsidRPr="00A84BEE">
        <w:rPr>
          <w:color w:val="000000" w:themeColor="text1"/>
        </w:rPr>
        <w:lastRenderedPageBreak/>
        <w:t xml:space="preserve">logiciels, incluent les codes sources et autres codes s’y rapportant et </w:t>
      </w:r>
      <w:r w:rsidR="00D26FC2" w:rsidRPr="00A84BEE">
        <w:rPr>
          <w:color w:val="000000" w:themeColor="text1"/>
        </w:rPr>
        <w:t>permettant la</w:t>
      </w:r>
      <w:r w:rsidRPr="00A84BEE">
        <w:rPr>
          <w:color w:val="000000" w:themeColor="text1"/>
        </w:rPr>
        <w:t xml:space="preserve"> maintenance et/ou l’adaptation des biens. La documentation technique ou tous les équipements ou accessoires spécifiques se rapportant à l’exécution d’une commande demeurent la propriété de l’acheteur et devront être considérés comme faisant partie intégrante des biens au sens des CGA. Sauf disposition contraire, cette documentation devra être fournie dans la langue du pays de livraison.</w:t>
      </w:r>
    </w:p>
    <w:p w:rsidR="00FC6553" w:rsidRPr="00A84BEE" w:rsidRDefault="00FC6553" w:rsidP="003F3E13">
      <w:pPr>
        <w:pStyle w:val="Conditionsachats"/>
        <w:spacing w:before="300" w:after="120"/>
        <w:ind w:left="709" w:hanging="709"/>
        <w:rPr>
          <w:color w:val="000000" w:themeColor="text1"/>
          <w:sz w:val="24"/>
          <w:szCs w:val="24"/>
        </w:rPr>
      </w:pPr>
      <w:bookmarkStart w:id="17" w:name="_Toc399246831"/>
      <w:r w:rsidRPr="00A84BEE">
        <w:rPr>
          <w:color w:val="000000" w:themeColor="text1"/>
          <w:sz w:val="24"/>
          <w:szCs w:val="24"/>
        </w:rPr>
        <w:t>Transfert de propriété – transfert des risques – conditions de livraison</w:t>
      </w:r>
      <w:bookmarkEnd w:id="17"/>
    </w:p>
    <w:p w:rsidR="00450765" w:rsidRPr="00A84BEE" w:rsidRDefault="00EC5DD3" w:rsidP="003F3E13">
      <w:pPr>
        <w:pStyle w:val="Paragraphedeliste"/>
        <w:numPr>
          <w:ilvl w:val="1"/>
          <w:numId w:val="1"/>
        </w:numPr>
        <w:ind w:left="709" w:hanging="709"/>
        <w:jc w:val="both"/>
        <w:rPr>
          <w:color w:val="000000" w:themeColor="text1"/>
        </w:rPr>
      </w:pPr>
      <w:r w:rsidRPr="00A84BEE">
        <w:rPr>
          <w:color w:val="000000" w:themeColor="text1"/>
        </w:rPr>
        <w:t xml:space="preserve">Le transfert de </w:t>
      </w:r>
      <w:r w:rsidR="00C82825" w:rsidRPr="00A84BEE">
        <w:rPr>
          <w:color w:val="000000" w:themeColor="text1"/>
        </w:rPr>
        <w:t xml:space="preserve">la propriété a lieu </w:t>
      </w:r>
      <w:r w:rsidR="00C9185D" w:rsidRPr="00A84BEE">
        <w:rPr>
          <w:color w:val="000000" w:themeColor="text1"/>
        </w:rPr>
        <w:t>lors de la livraison</w:t>
      </w:r>
      <w:r w:rsidR="000172F4" w:rsidRPr="00A84BEE">
        <w:rPr>
          <w:color w:val="000000" w:themeColor="text1"/>
        </w:rPr>
        <w:t>,</w:t>
      </w:r>
      <w:r w:rsidR="003A7D1A" w:rsidRPr="00A84BEE">
        <w:rPr>
          <w:color w:val="000000" w:themeColor="text1"/>
        </w:rPr>
        <w:t xml:space="preserve"> sauf si une consignation de </w:t>
      </w:r>
      <w:r w:rsidR="000172F4" w:rsidRPr="00A84BEE">
        <w:rPr>
          <w:color w:val="000000" w:themeColor="text1"/>
        </w:rPr>
        <w:t>marchandise est convenue entre les parties sur le lieu du fournisseur.</w:t>
      </w:r>
    </w:p>
    <w:p w:rsidR="00EC5DD3" w:rsidRPr="00A84BEE" w:rsidRDefault="00EC5DD3" w:rsidP="003F3E13">
      <w:pPr>
        <w:pStyle w:val="Paragraphedeliste"/>
        <w:numPr>
          <w:ilvl w:val="2"/>
          <w:numId w:val="1"/>
        </w:numPr>
        <w:ind w:left="709" w:hanging="709"/>
        <w:jc w:val="both"/>
        <w:rPr>
          <w:color w:val="000000" w:themeColor="text1"/>
        </w:rPr>
      </w:pPr>
      <w:r w:rsidRPr="00A84BEE">
        <w:rPr>
          <w:color w:val="000000" w:themeColor="text1"/>
        </w:rPr>
        <w:t>Sauf accord contraire</w:t>
      </w:r>
      <w:r w:rsidR="00C82825" w:rsidRPr="00A84BEE">
        <w:rPr>
          <w:color w:val="000000" w:themeColor="text1"/>
        </w:rPr>
        <w:t xml:space="preserve">, le </w:t>
      </w:r>
      <w:r w:rsidR="00454982" w:rsidRPr="00A84BEE">
        <w:rPr>
          <w:color w:val="000000" w:themeColor="text1"/>
        </w:rPr>
        <w:t>fournisseur</w:t>
      </w:r>
      <w:r w:rsidR="00C82825" w:rsidRPr="00A84BEE">
        <w:rPr>
          <w:color w:val="000000" w:themeColor="text1"/>
        </w:rPr>
        <w:t xml:space="preserve"> ne pourra prétendre à l’application d’une quelconque clause de réserve de propriété. </w:t>
      </w:r>
    </w:p>
    <w:p w:rsidR="00EC5DD3" w:rsidRPr="00A84BEE" w:rsidRDefault="00EC5DD3" w:rsidP="003F3E13">
      <w:pPr>
        <w:pStyle w:val="Paragraphedeliste"/>
        <w:numPr>
          <w:ilvl w:val="1"/>
          <w:numId w:val="1"/>
        </w:numPr>
        <w:ind w:left="709" w:hanging="709"/>
        <w:jc w:val="both"/>
        <w:rPr>
          <w:color w:val="000000" w:themeColor="text1"/>
        </w:rPr>
      </w:pPr>
      <w:r w:rsidRPr="00A84BEE">
        <w:rPr>
          <w:color w:val="000000" w:themeColor="text1"/>
        </w:rPr>
        <w:t>Transfert de risques</w:t>
      </w:r>
      <w:r w:rsidR="00450765" w:rsidRPr="00A84BEE">
        <w:rPr>
          <w:color w:val="000000" w:themeColor="text1"/>
        </w:rPr>
        <w:t> : l</w:t>
      </w:r>
      <w:r w:rsidR="00905F67" w:rsidRPr="00A84BEE">
        <w:rPr>
          <w:color w:val="000000" w:themeColor="text1"/>
        </w:rPr>
        <w:t xml:space="preserve">e </w:t>
      </w:r>
      <w:r w:rsidR="00454982" w:rsidRPr="00A84BEE">
        <w:rPr>
          <w:color w:val="000000" w:themeColor="text1"/>
        </w:rPr>
        <w:t>fournisseur</w:t>
      </w:r>
      <w:r w:rsidR="00905F67" w:rsidRPr="00A84BEE">
        <w:rPr>
          <w:color w:val="000000" w:themeColor="text1"/>
        </w:rPr>
        <w:t xml:space="preserve"> est tenu responsable de la perte, du vol ou des dommages de toute nature que pourrait subir le bien, </w:t>
      </w:r>
      <w:r w:rsidR="0087153C" w:rsidRPr="00A84BEE">
        <w:rPr>
          <w:color w:val="000000" w:themeColor="text1"/>
        </w:rPr>
        <w:t xml:space="preserve">jusqu’au lieu de </w:t>
      </w:r>
      <w:r w:rsidR="002E6EB2" w:rsidRPr="00A84BEE">
        <w:rPr>
          <w:color w:val="000000" w:themeColor="text1"/>
        </w:rPr>
        <w:t>livraison</w:t>
      </w:r>
      <w:r w:rsidR="00905F67" w:rsidRPr="00A84BEE">
        <w:rPr>
          <w:color w:val="000000" w:themeColor="text1"/>
        </w:rPr>
        <w:t>.</w:t>
      </w:r>
      <w:r w:rsidR="0087153C" w:rsidRPr="00A84BEE">
        <w:rPr>
          <w:color w:val="000000" w:themeColor="text1"/>
        </w:rPr>
        <w:t xml:space="preserve"> </w:t>
      </w:r>
      <w:r w:rsidR="00AA6D83" w:rsidRPr="00A84BEE">
        <w:rPr>
          <w:color w:val="000000" w:themeColor="text1"/>
        </w:rPr>
        <w:t>Le transfert des risques est déterminé par l’incoterm de la commande.</w:t>
      </w:r>
    </w:p>
    <w:p w:rsidR="00EC5DD3" w:rsidRPr="00A84BEE" w:rsidRDefault="00EC5DD3" w:rsidP="003F3E13">
      <w:pPr>
        <w:pStyle w:val="Paragraphedeliste"/>
        <w:numPr>
          <w:ilvl w:val="1"/>
          <w:numId w:val="1"/>
        </w:numPr>
        <w:ind w:left="709" w:hanging="709"/>
        <w:jc w:val="both"/>
        <w:rPr>
          <w:color w:val="000000" w:themeColor="text1"/>
        </w:rPr>
      </w:pPr>
      <w:r w:rsidRPr="00A84BEE">
        <w:rPr>
          <w:color w:val="000000" w:themeColor="text1"/>
        </w:rPr>
        <w:t>Sauf accord contraire</w:t>
      </w:r>
      <w:r w:rsidR="00905F67" w:rsidRPr="00A84BEE">
        <w:rPr>
          <w:color w:val="000000" w:themeColor="text1"/>
        </w:rPr>
        <w:t xml:space="preserve">, les biens voyagent aux risques et périls du </w:t>
      </w:r>
      <w:r w:rsidR="00454982" w:rsidRPr="00A84BEE">
        <w:rPr>
          <w:color w:val="000000" w:themeColor="text1"/>
        </w:rPr>
        <w:t>fournisseur</w:t>
      </w:r>
      <w:r w:rsidR="00905F67" w:rsidRPr="00A84BEE">
        <w:rPr>
          <w:color w:val="000000" w:themeColor="text1"/>
        </w:rPr>
        <w:t>. Les biens sont acheminés e</w:t>
      </w:r>
      <w:r w:rsidR="00450765" w:rsidRPr="00A84BEE">
        <w:rPr>
          <w:color w:val="000000" w:themeColor="text1"/>
        </w:rPr>
        <w:t>t rendus tous droits acquittés</w:t>
      </w:r>
      <w:r w:rsidR="00905F67" w:rsidRPr="00A84BEE">
        <w:rPr>
          <w:color w:val="000000" w:themeColor="text1"/>
        </w:rPr>
        <w:t xml:space="preserve"> à l’adresse de livraison indiquée sur la commande, aux conditions </w:t>
      </w:r>
      <w:r w:rsidR="00AA6D83" w:rsidRPr="00A84BEE">
        <w:rPr>
          <w:color w:val="000000" w:themeColor="text1"/>
        </w:rPr>
        <w:t>DDP</w:t>
      </w:r>
      <w:r w:rsidR="00905F67" w:rsidRPr="00A84BEE">
        <w:rPr>
          <w:color w:val="000000" w:themeColor="text1"/>
        </w:rPr>
        <w:t>, selon la règle prévue par les Incoterms CCI 2010.</w:t>
      </w:r>
      <w:r w:rsidR="003A7D1A" w:rsidRPr="00A84BEE">
        <w:rPr>
          <w:color w:val="000000" w:themeColor="text1"/>
        </w:rPr>
        <w:t xml:space="preserve"> </w:t>
      </w:r>
    </w:p>
    <w:p w:rsidR="00DA14C7" w:rsidRPr="00A84BEE" w:rsidRDefault="00EC5DD3" w:rsidP="003F3E13">
      <w:pPr>
        <w:pStyle w:val="Paragraphedeliste"/>
        <w:numPr>
          <w:ilvl w:val="1"/>
          <w:numId w:val="1"/>
        </w:numPr>
        <w:ind w:left="709" w:hanging="709"/>
        <w:jc w:val="both"/>
        <w:rPr>
          <w:color w:val="000000" w:themeColor="text1"/>
        </w:rPr>
      </w:pPr>
      <w:r w:rsidRPr="00A84BEE">
        <w:rPr>
          <w:color w:val="000000" w:themeColor="text1"/>
        </w:rPr>
        <w:t>Assurance</w:t>
      </w:r>
      <w:r w:rsidR="00DA14C7" w:rsidRPr="00A84BEE">
        <w:rPr>
          <w:color w:val="000000" w:themeColor="text1"/>
        </w:rPr>
        <w:t> : dans tous les cas où le fournisseur se trouve être</w:t>
      </w:r>
      <w:r w:rsidR="00AA6D83" w:rsidRPr="00A84BEE">
        <w:rPr>
          <w:color w:val="000000" w:themeColor="text1"/>
        </w:rPr>
        <w:t xml:space="preserve"> l’organisateur du transport, et que l’incoterm DDP ne régit pas les conditions de livraison, </w:t>
      </w:r>
      <w:r w:rsidR="00DA14C7" w:rsidRPr="00A84BEE">
        <w:rPr>
          <w:color w:val="000000" w:themeColor="text1"/>
        </w:rPr>
        <w:t xml:space="preserve">ce dernier veillera : </w:t>
      </w:r>
    </w:p>
    <w:p w:rsidR="00EC5DD3" w:rsidRPr="00A84BEE" w:rsidRDefault="006D35E2" w:rsidP="003F3E13">
      <w:pPr>
        <w:pStyle w:val="Paragraphedeliste"/>
        <w:numPr>
          <w:ilvl w:val="0"/>
          <w:numId w:val="2"/>
        </w:numPr>
        <w:tabs>
          <w:tab w:val="left" w:pos="709"/>
        </w:tabs>
        <w:ind w:left="993" w:hanging="284"/>
        <w:jc w:val="both"/>
        <w:rPr>
          <w:color w:val="000000" w:themeColor="text1"/>
        </w:rPr>
      </w:pPr>
      <w:proofErr w:type="gramStart"/>
      <w:r w:rsidRPr="00A84BEE">
        <w:rPr>
          <w:color w:val="000000" w:themeColor="text1"/>
        </w:rPr>
        <w:t>s</w:t>
      </w:r>
      <w:r w:rsidR="00EC5DD3" w:rsidRPr="00A84BEE">
        <w:rPr>
          <w:color w:val="000000" w:themeColor="text1"/>
        </w:rPr>
        <w:t>oit</w:t>
      </w:r>
      <w:proofErr w:type="gramEnd"/>
      <w:r w:rsidR="00EC5DD3" w:rsidRPr="00A84BEE">
        <w:rPr>
          <w:color w:val="000000" w:themeColor="text1"/>
        </w:rPr>
        <w:t xml:space="preserve"> à informer</w:t>
      </w:r>
      <w:r w:rsidR="00C61E71" w:rsidRPr="00A84BEE">
        <w:rPr>
          <w:color w:val="000000" w:themeColor="text1"/>
        </w:rPr>
        <w:t xml:space="preserve"> l’acheteur de souscrire une assurance transport pour la couverture des risques </w:t>
      </w:r>
      <w:r w:rsidR="009B5E6F" w:rsidRPr="00A84BEE">
        <w:rPr>
          <w:color w:val="000000" w:themeColor="text1"/>
        </w:rPr>
        <w:t>qui</w:t>
      </w:r>
      <w:r w:rsidR="00450765" w:rsidRPr="00A84BEE">
        <w:rPr>
          <w:color w:val="000000" w:themeColor="text1"/>
        </w:rPr>
        <w:t xml:space="preserve"> lui incombent</w:t>
      </w:r>
      <w:r w:rsidRPr="00A84BEE">
        <w:rPr>
          <w:color w:val="000000" w:themeColor="text1"/>
        </w:rPr>
        <w:t> ;</w:t>
      </w:r>
    </w:p>
    <w:p w:rsidR="00EE4296" w:rsidRPr="00A84BEE" w:rsidRDefault="006D35E2" w:rsidP="00EE4296">
      <w:pPr>
        <w:pStyle w:val="Paragraphedeliste"/>
        <w:numPr>
          <w:ilvl w:val="0"/>
          <w:numId w:val="2"/>
        </w:numPr>
        <w:tabs>
          <w:tab w:val="left" w:pos="709"/>
        </w:tabs>
        <w:ind w:left="993" w:hanging="284"/>
        <w:jc w:val="both"/>
        <w:rPr>
          <w:color w:val="000000" w:themeColor="text1"/>
        </w:rPr>
      </w:pPr>
      <w:proofErr w:type="gramStart"/>
      <w:r w:rsidRPr="00A84BEE">
        <w:rPr>
          <w:color w:val="000000" w:themeColor="text1"/>
        </w:rPr>
        <w:t>s</w:t>
      </w:r>
      <w:r w:rsidR="00EC5DD3" w:rsidRPr="00A84BEE">
        <w:rPr>
          <w:color w:val="000000" w:themeColor="text1"/>
        </w:rPr>
        <w:t>oit</w:t>
      </w:r>
      <w:proofErr w:type="gramEnd"/>
      <w:r w:rsidR="00EC5DD3" w:rsidRPr="00A84BEE">
        <w:rPr>
          <w:color w:val="000000" w:themeColor="text1"/>
        </w:rPr>
        <w:t xml:space="preserve"> à couvri</w:t>
      </w:r>
      <w:r w:rsidR="009F7B50" w:rsidRPr="00A84BEE">
        <w:rPr>
          <w:color w:val="000000" w:themeColor="text1"/>
        </w:rPr>
        <w:t>r lui-même tous les risques pouvant survenir durant l’acheminement des biens depuis les entrepôts du fournisseur jusqu’au déchargement compris des biens dans l’entrepôt de l’acheteur, en contractant une assurance transport</w:t>
      </w:r>
      <w:r w:rsidR="00635878" w:rsidRPr="00A84BEE">
        <w:rPr>
          <w:color w:val="000000" w:themeColor="text1"/>
        </w:rPr>
        <w:t xml:space="preserve"> </w:t>
      </w:r>
      <w:r w:rsidR="00DA4CE3" w:rsidRPr="00A84BEE">
        <w:rPr>
          <w:color w:val="000000" w:themeColor="text1"/>
        </w:rPr>
        <w:t>couvrant</w:t>
      </w:r>
      <w:r w:rsidR="00717A2F" w:rsidRPr="00A84BEE">
        <w:rPr>
          <w:color w:val="000000" w:themeColor="text1"/>
        </w:rPr>
        <w:t xml:space="preserve"> 1</w:t>
      </w:r>
      <w:r w:rsidR="00DA4CE3" w:rsidRPr="00A84BEE">
        <w:rPr>
          <w:color w:val="000000" w:themeColor="text1"/>
        </w:rPr>
        <w:t>0</w:t>
      </w:r>
      <w:r w:rsidR="00717A2F" w:rsidRPr="00A84BEE">
        <w:rPr>
          <w:color w:val="000000" w:themeColor="text1"/>
        </w:rPr>
        <w:t>0% de la valeur des biens facturés ainsi que</w:t>
      </w:r>
      <w:r w:rsidR="00635878" w:rsidRPr="00A84BEE">
        <w:rPr>
          <w:color w:val="000000" w:themeColor="text1"/>
        </w:rPr>
        <w:t xml:space="preserve"> les frais supplémenta</w:t>
      </w:r>
      <w:r w:rsidR="00DA4CE3" w:rsidRPr="00A84BEE">
        <w:rPr>
          <w:color w:val="000000" w:themeColor="text1"/>
        </w:rPr>
        <w:t>ires engendrés par le dommage.</w:t>
      </w:r>
    </w:p>
    <w:p w:rsidR="00FC6553" w:rsidRPr="00A84BEE" w:rsidRDefault="00FC6553" w:rsidP="003F3E13">
      <w:pPr>
        <w:pStyle w:val="Conditionsachats"/>
        <w:spacing w:before="300" w:after="120"/>
        <w:ind w:left="709" w:hanging="709"/>
        <w:rPr>
          <w:color w:val="000000" w:themeColor="text1"/>
          <w:sz w:val="24"/>
          <w:szCs w:val="24"/>
        </w:rPr>
      </w:pPr>
      <w:bookmarkStart w:id="18" w:name="_Toc399246832"/>
      <w:r w:rsidRPr="00A84BEE">
        <w:rPr>
          <w:color w:val="000000" w:themeColor="text1"/>
          <w:sz w:val="24"/>
          <w:szCs w:val="24"/>
        </w:rPr>
        <w:t>Exclusions</w:t>
      </w:r>
      <w:bookmarkEnd w:id="18"/>
    </w:p>
    <w:p w:rsidR="00A10FED" w:rsidRPr="00A84BEE" w:rsidRDefault="00097FEC" w:rsidP="0041653A">
      <w:pPr>
        <w:pStyle w:val="Paragraphedeliste"/>
        <w:ind w:left="709"/>
        <w:jc w:val="both"/>
        <w:rPr>
          <w:color w:val="000000" w:themeColor="text1"/>
        </w:rPr>
      </w:pPr>
      <w:r w:rsidRPr="00A84BEE">
        <w:rPr>
          <w:color w:val="000000" w:themeColor="text1"/>
        </w:rPr>
        <w:t>L’acheteur n’est soumis à aucune autre obligation qu’il n’a pas expressément acceptée. En particulier, les clauses dites d’usage et d’us et coutumes ne sont pas opposables à l’acheteur, s’il ne les a pas expressément acceptés.</w:t>
      </w:r>
    </w:p>
    <w:p w:rsidR="00FC6553" w:rsidRPr="00A84BEE" w:rsidRDefault="00FC6553" w:rsidP="003F3E13">
      <w:pPr>
        <w:pStyle w:val="Conditionsachats"/>
        <w:spacing w:before="300" w:after="120"/>
        <w:ind w:left="709" w:hanging="709"/>
        <w:rPr>
          <w:color w:val="000000" w:themeColor="text1"/>
          <w:sz w:val="24"/>
          <w:szCs w:val="24"/>
        </w:rPr>
      </w:pPr>
      <w:bookmarkStart w:id="19" w:name="_Toc399246833"/>
      <w:r w:rsidRPr="00A84BEE">
        <w:rPr>
          <w:color w:val="000000" w:themeColor="text1"/>
          <w:sz w:val="24"/>
          <w:szCs w:val="24"/>
        </w:rPr>
        <w:t>Force majeure</w:t>
      </w:r>
      <w:bookmarkEnd w:id="19"/>
    </w:p>
    <w:p w:rsidR="00EC5DD3" w:rsidRPr="00A84BEE" w:rsidRDefault="00EC5DD3" w:rsidP="003F3E13">
      <w:pPr>
        <w:pStyle w:val="Paragraphedeliste"/>
        <w:numPr>
          <w:ilvl w:val="1"/>
          <w:numId w:val="1"/>
        </w:numPr>
        <w:ind w:left="709" w:hanging="709"/>
        <w:jc w:val="both"/>
        <w:rPr>
          <w:color w:val="000000" w:themeColor="text1"/>
        </w:rPr>
      </w:pPr>
      <w:r w:rsidRPr="00A84BEE">
        <w:rPr>
          <w:color w:val="000000" w:themeColor="text1"/>
        </w:rPr>
        <w:t xml:space="preserve">Pour que </w:t>
      </w:r>
      <w:r w:rsidR="00454982" w:rsidRPr="00A84BEE">
        <w:rPr>
          <w:color w:val="000000" w:themeColor="text1"/>
        </w:rPr>
        <w:t>l’acheteur puisse</w:t>
      </w:r>
      <w:r w:rsidR="009F7B50" w:rsidRPr="00A84BEE">
        <w:rPr>
          <w:color w:val="000000" w:themeColor="text1"/>
        </w:rPr>
        <w:t xml:space="preserve"> accepter l’allégation de la clause de la force majeure par le fournisseur, pour justifier une inexé</w:t>
      </w:r>
      <w:r w:rsidR="00595B30" w:rsidRPr="00A84BEE">
        <w:rPr>
          <w:color w:val="000000" w:themeColor="text1"/>
        </w:rPr>
        <w:t xml:space="preserve">cution ou un </w:t>
      </w:r>
      <w:r w:rsidR="009B5E6F" w:rsidRPr="00A84BEE">
        <w:rPr>
          <w:color w:val="000000" w:themeColor="text1"/>
        </w:rPr>
        <w:t>retard</w:t>
      </w:r>
      <w:r w:rsidR="00595B30" w:rsidRPr="00A84BEE">
        <w:rPr>
          <w:color w:val="000000" w:themeColor="text1"/>
        </w:rPr>
        <w:t xml:space="preserve"> d’exécution, il aura fallu que le dit fournisseur prévienne </w:t>
      </w:r>
      <w:r w:rsidR="00454982" w:rsidRPr="00A84BEE">
        <w:rPr>
          <w:color w:val="000000" w:themeColor="text1"/>
        </w:rPr>
        <w:t xml:space="preserve">l’acheteur </w:t>
      </w:r>
      <w:r w:rsidR="00595B30" w:rsidRPr="00A84BEE">
        <w:rPr>
          <w:color w:val="000000" w:themeColor="text1"/>
        </w:rPr>
        <w:t xml:space="preserve">par lettre recommandée avec accusé de réception, dès la constatation par lui-même, de la survenance de l’évènement de force majeure et l’empêchement qu’il constitue aux obligations du fournisseur. </w:t>
      </w:r>
    </w:p>
    <w:p w:rsidR="00EC5DD3" w:rsidRPr="00A84BEE" w:rsidRDefault="00EC5DD3" w:rsidP="003F3E13">
      <w:pPr>
        <w:pStyle w:val="Paragraphedeliste"/>
        <w:numPr>
          <w:ilvl w:val="1"/>
          <w:numId w:val="1"/>
        </w:numPr>
        <w:ind w:left="709" w:hanging="709"/>
        <w:jc w:val="both"/>
        <w:rPr>
          <w:color w:val="000000" w:themeColor="text1"/>
        </w:rPr>
      </w:pPr>
      <w:r w:rsidRPr="00A84BEE">
        <w:rPr>
          <w:color w:val="000000" w:themeColor="text1"/>
        </w:rPr>
        <w:lastRenderedPageBreak/>
        <w:t>Tous les événements</w:t>
      </w:r>
      <w:r w:rsidR="00595B30" w:rsidRPr="00A84BEE">
        <w:rPr>
          <w:color w:val="000000" w:themeColor="text1"/>
        </w:rPr>
        <w:t xml:space="preserve"> affectant le fournisseur, ainsi que les grève</w:t>
      </w:r>
      <w:r w:rsidR="00B63260" w:rsidRPr="00A84BEE">
        <w:rPr>
          <w:color w:val="000000" w:themeColor="text1"/>
        </w:rPr>
        <w:t>s des transports publics ou tous</w:t>
      </w:r>
      <w:r w:rsidR="00595B30" w:rsidRPr="00A84BEE">
        <w:rPr>
          <w:color w:val="000000" w:themeColor="text1"/>
        </w:rPr>
        <w:t xml:space="preserve"> autre</w:t>
      </w:r>
      <w:r w:rsidR="00B63260" w:rsidRPr="00A84BEE">
        <w:rPr>
          <w:color w:val="000000" w:themeColor="text1"/>
        </w:rPr>
        <w:t>s</w:t>
      </w:r>
      <w:r w:rsidR="00595B30" w:rsidRPr="00A84BEE">
        <w:rPr>
          <w:color w:val="000000" w:themeColor="text1"/>
        </w:rPr>
        <w:t xml:space="preserve"> évènement</w:t>
      </w:r>
      <w:r w:rsidR="00B63260" w:rsidRPr="00A84BEE">
        <w:rPr>
          <w:color w:val="000000" w:themeColor="text1"/>
        </w:rPr>
        <w:t>s</w:t>
      </w:r>
      <w:r w:rsidR="00595B30" w:rsidRPr="00A84BEE">
        <w:rPr>
          <w:color w:val="000000" w:themeColor="text1"/>
        </w:rPr>
        <w:t xml:space="preserve"> qui aurai</w:t>
      </w:r>
      <w:r w:rsidR="00B63260" w:rsidRPr="00A84BEE">
        <w:rPr>
          <w:color w:val="000000" w:themeColor="text1"/>
        </w:rPr>
        <w:t>en</w:t>
      </w:r>
      <w:r w:rsidR="00595B30" w:rsidRPr="00A84BEE">
        <w:rPr>
          <w:color w:val="000000" w:themeColor="text1"/>
        </w:rPr>
        <w:t>t pu être prévisible</w:t>
      </w:r>
      <w:r w:rsidR="00B63260" w:rsidRPr="00A84BEE">
        <w:rPr>
          <w:color w:val="000000" w:themeColor="text1"/>
        </w:rPr>
        <w:t>s</w:t>
      </w:r>
      <w:r w:rsidR="00595B30" w:rsidRPr="00A84BEE">
        <w:rPr>
          <w:color w:val="000000" w:themeColor="text1"/>
        </w:rPr>
        <w:t>, ne constituent pas un cas de force majeur.</w:t>
      </w:r>
    </w:p>
    <w:p w:rsidR="00EC5DD3" w:rsidRPr="00A84BEE" w:rsidRDefault="00EC5DD3" w:rsidP="003F3E13">
      <w:pPr>
        <w:pStyle w:val="Paragraphedeliste"/>
        <w:numPr>
          <w:ilvl w:val="1"/>
          <w:numId w:val="1"/>
        </w:numPr>
        <w:ind w:left="709" w:hanging="709"/>
        <w:jc w:val="both"/>
        <w:rPr>
          <w:color w:val="000000" w:themeColor="text1"/>
        </w:rPr>
      </w:pPr>
      <w:r w:rsidRPr="00A84BEE">
        <w:rPr>
          <w:color w:val="000000" w:themeColor="text1"/>
        </w:rPr>
        <w:t>En cas de constatation</w:t>
      </w:r>
      <w:r w:rsidR="00595B30" w:rsidRPr="00A84BEE">
        <w:rPr>
          <w:color w:val="000000" w:themeColor="text1"/>
        </w:rPr>
        <w:t xml:space="preserve"> de force majeure, l’acheteur pourra à sa discrétion convenir avec le </w:t>
      </w:r>
      <w:r w:rsidR="00454982" w:rsidRPr="00A84BEE">
        <w:rPr>
          <w:color w:val="000000" w:themeColor="text1"/>
        </w:rPr>
        <w:t>fournisseur</w:t>
      </w:r>
      <w:r w:rsidR="00595B30" w:rsidRPr="00A84BEE">
        <w:rPr>
          <w:color w:val="000000" w:themeColor="text1"/>
        </w:rPr>
        <w:t xml:space="preserve"> d’un délai supplémentaire de livraison ou résilier sans autre obligation ou responsabilité tout ou une partie de la commande et demander le remboursement de tout</w:t>
      </w:r>
      <w:r w:rsidR="0087153C" w:rsidRPr="00A84BEE">
        <w:rPr>
          <w:color w:val="000000" w:themeColor="text1"/>
        </w:rPr>
        <w:t>e</w:t>
      </w:r>
      <w:r w:rsidR="00595B30" w:rsidRPr="00A84BEE">
        <w:rPr>
          <w:color w:val="000000" w:themeColor="text1"/>
        </w:rPr>
        <w:t xml:space="preserve"> somme déjà payée.</w:t>
      </w:r>
    </w:p>
    <w:p w:rsidR="00051C93" w:rsidRPr="00A84BEE" w:rsidRDefault="00EC5DD3" w:rsidP="009176E7">
      <w:pPr>
        <w:pStyle w:val="Paragraphedeliste"/>
        <w:numPr>
          <w:ilvl w:val="1"/>
          <w:numId w:val="1"/>
        </w:numPr>
        <w:ind w:left="709" w:hanging="709"/>
        <w:jc w:val="both"/>
        <w:rPr>
          <w:color w:val="000000" w:themeColor="text1"/>
        </w:rPr>
      </w:pPr>
      <w:r w:rsidRPr="00A84BEE">
        <w:rPr>
          <w:color w:val="000000" w:themeColor="text1"/>
        </w:rPr>
        <w:t xml:space="preserve">Le coût des </w:t>
      </w:r>
      <w:r w:rsidR="00595B30" w:rsidRPr="00A84BEE">
        <w:rPr>
          <w:color w:val="000000" w:themeColor="text1"/>
        </w:rPr>
        <w:t>livraisons partielles déjà effectuées ne reste dû que dans le cas où celles-ci peuvent être pleinement utilisées par l’acheteur malgré le manquement ultérieur à livrer le reliquat de la commande. Tout montant dépassant ce coût et payé d’avance par l’acheteur devra être remboursé par le vendeur.</w:t>
      </w:r>
    </w:p>
    <w:p w:rsidR="007A12D2" w:rsidRPr="00A84BEE" w:rsidRDefault="000F124A" w:rsidP="00D22F79">
      <w:pPr>
        <w:pStyle w:val="Conditionsachats"/>
        <w:spacing w:before="300" w:after="120"/>
        <w:ind w:left="709" w:hanging="709"/>
        <w:rPr>
          <w:color w:val="000000" w:themeColor="text1"/>
          <w:sz w:val="24"/>
          <w:szCs w:val="24"/>
        </w:rPr>
      </w:pPr>
      <w:bookmarkStart w:id="20" w:name="_Toc399246834"/>
      <w:r w:rsidRPr="00A84BEE">
        <w:rPr>
          <w:color w:val="000000" w:themeColor="text1"/>
          <w:sz w:val="24"/>
          <w:szCs w:val="24"/>
        </w:rPr>
        <w:t>Clause</w:t>
      </w:r>
      <w:r w:rsidR="00FC6553" w:rsidRPr="00A84BEE">
        <w:rPr>
          <w:color w:val="000000" w:themeColor="text1"/>
          <w:sz w:val="24"/>
          <w:szCs w:val="24"/>
        </w:rPr>
        <w:t xml:space="preserve"> résolutoire</w:t>
      </w:r>
      <w:bookmarkEnd w:id="20"/>
    </w:p>
    <w:p w:rsidR="007C23E9" w:rsidRPr="00A84BEE" w:rsidRDefault="00EC5DD3" w:rsidP="000F124A">
      <w:pPr>
        <w:ind w:left="709"/>
        <w:jc w:val="both"/>
        <w:rPr>
          <w:color w:val="000000" w:themeColor="text1"/>
        </w:rPr>
      </w:pPr>
      <w:r w:rsidRPr="00A84BEE">
        <w:rPr>
          <w:color w:val="000000" w:themeColor="text1"/>
        </w:rPr>
        <w:t>En cas de non-respect</w:t>
      </w:r>
      <w:r w:rsidR="00CB6A21" w:rsidRPr="00A84BEE">
        <w:rPr>
          <w:color w:val="000000" w:themeColor="text1"/>
        </w:rPr>
        <w:t xml:space="preserve"> de l’une quelconque des modalités prévues par les termes de la commande,</w:t>
      </w:r>
      <w:r w:rsidR="0081760C" w:rsidRPr="00A84BEE">
        <w:rPr>
          <w:color w:val="000000" w:themeColor="text1"/>
        </w:rPr>
        <w:t xml:space="preserve"> ou en cas de changement de contrôle du fournisseur, direct ou indirect, ou </w:t>
      </w:r>
      <w:r w:rsidR="00B63260" w:rsidRPr="00A84BEE">
        <w:rPr>
          <w:color w:val="000000" w:themeColor="text1"/>
        </w:rPr>
        <w:t>du transfert de l’entreprise ou de la société du fournisseur</w:t>
      </w:r>
      <w:r w:rsidR="0081760C" w:rsidRPr="00A84BEE">
        <w:rPr>
          <w:color w:val="000000" w:themeColor="text1"/>
        </w:rPr>
        <w:t xml:space="preserve">, </w:t>
      </w:r>
      <w:r w:rsidR="00CB6A21" w:rsidRPr="00A84BEE">
        <w:rPr>
          <w:color w:val="000000" w:themeColor="text1"/>
        </w:rPr>
        <w:t xml:space="preserve"> l’acheteur pourra résilier tout ou partie de la commande moyennant notification</w:t>
      </w:r>
      <w:r w:rsidR="00EE7EB7" w:rsidRPr="00A84BEE">
        <w:rPr>
          <w:color w:val="000000" w:themeColor="text1"/>
        </w:rPr>
        <w:t xml:space="preserve"> écrite au fournisseur</w:t>
      </w:r>
      <w:r w:rsidR="009B5E6F" w:rsidRPr="00A84BEE">
        <w:rPr>
          <w:color w:val="000000" w:themeColor="text1"/>
        </w:rPr>
        <w:t>,</w:t>
      </w:r>
      <w:r w:rsidR="00EE7EB7" w:rsidRPr="00A84BEE">
        <w:rPr>
          <w:color w:val="000000" w:themeColor="text1"/>
        </w:rPr>
        <w:t xml:space="preserve"> </w:t>
      </w:r>
      <w:r w:rsidR="009B5E6F" w:rsidRPr="00A84BEE">
        <w:rPr>
          <w:color w:val="000000" w:themeColor="text1"/>
        </w:rPr>
        <w:t xml:space="preserve"> </w:t>
      </w:r>
      <w:r w:rsidR="00EE7EB7" w:rsidRPr="00A84BEE">
        <w:rPr>
          <w:color w:val="000000" w:themeColor="text1"/>
        </w:rPr>
        <w:t xml:space="preserve">sans </w:t>
      </w:r>
      <w:r w:rsidR="009B5E6F" w:rsidRPr="00A84BEE">
        <w:rPr>
          <w:color w:val="000000" w:themeColor="text1"/>
        </w:rPr>
        <w:t>préjudice de tout autre recours</w:t>
      </w:r>
      <w:r w:rsidR="00EE7EB7" w:rsidRPr="00A84BEE">
        <w:rPr>
          <w:color w:val="000000" w:themeColor="text1"/>
        </w:rPr>
        <w:t xml:space="preserve"> et </w:t>
      </w:r>
      <w:r w:rsidR="009B5E6F" w:rsidRPr="00A84BEE">
        <w:rPr>
          <w:color w:val="000000" w:themeColor="text1"/>
        </w:rPr>
        <w:t>prétentions en dommages et intérêts,</w:t>
      </w:r>
      <w:r w:rsidR="009B5E6F" w:rsidRPr="00A84BEE">
        <w:rPr>
          <w:b/>
          <w:color w:val="000000" w:themeColor="text1"/>
        </w:rPr>
        <w:t xml:space="preserve">  </w:t>
      </w:r>
      <w:r w:rsidR="009B5E6F" w:rsidRPr="00A84BEE">
        <w:rPr>
          <w:color w:val="000000" w:themeColor="text1"/>
        </w:rPr>
        <w:t>et</w:t>
      </w:r>
      <w:r w:rsidR="009B5E6F" w:rsidRPr="00A84BEE">
        <w:rPr>
          <w:b/>
          <w:color w:val="000000" w:themeColor="text1"/>
        </w:rPr>
        <w:t xml:space="preserve"> </w:t>
      </w:r>
      <w:r w:rsidR="00EE7EB7" w:rsidRPr="00A84BEE">
        <w:rPr>
          <w:color w:val="000000" w:themeColor="text1"/>
        </w:rPr>
        <w:t xml:space="preserve">exiger du </w:t>
      </w:r>
      <w:r w:rsidR="00EC7CCE" w:rsidRPr="00A84BEE">
        <w:rPr>
          <w:color w:val="000000" w:themeColor="text1"/>
        </w:rPr>
        <w:t>fournisseur</w:t>
      </w:r>
      <w:r w:rsidR="00EE7EB7" w:rsidRPr="00A84BEE">
        <w:rPr>
          <w:color w:val="000000" w:themeColor="text1"/>
        </w:rPr>
        <w:t xml:space="preserve"> le remboursement de toutes les sommes réglées de ce fait par l’acheteur et de tous les frais supportés par lui du fait de la défaillance du fournisseur. La résiliation </w:t>
      </w:r>
      <w:r w:rsidR="0081760C" w:rsidRPr="00A84BEE">
        <w:rPr>
          <w:color w:val="000000" w:themeColor="text1"/>
        </w:rPr>
        <w:t>pourra</w:t>
      </w:r>
      <w:r w:rsidR="00EE7EB7" w:rsidRPr="00A84BEE">
        <w:rPr>
          <w:color w:val="000000" w:themeColor="text1"/>
        </w:rPr>
        <w:t xml:space="preserve"> être notifiée par écrit et courrier recommandé avec accusé de réception, </w:t>
      </w:r>
      <w:r w:rsidR="0081760C" w:rsidRPr="00A84BEE">
        <w:rPr>
          <w:color w:val="000000" w:themeColor="text1"/>
        </w:rPr>
        <w:t xml:space="preserve">et </w:t>
      </w:r>
      <w:r w:rsidR="00596127" w:rsidRPr="00A84BEE">
        <w:rPr>
          <w:color w:val="000000" w:themeColor="text1"/>
        </w:rPr>
        <w:t xml:space="preserve">pourra être </w:t>
      </w:r>
      <w:r w:rsidR="00A1074A" w:rsidRPr="00A84BEE">
        <w:rPr>
          <w:color w:val="000000" w:themeColor="text1"/>
        </w:rPr>
        <w:t>effective 30 jours</w:t>
      </w:r>
      <w:r w:rsidR="00EE7EB7" w:rsidRPr="00A84BEE">
        <w:rPr>
          <w:color w:val="000000" w:themeColor="text1"/>
        </w:rPr>
        <w:t xml:space="preserve"> après la mise en demeure du fournisseur.</w:t>
      </w:r>
    </w:p>
    <w:p w:rsidR="00482758" w:rsidRPr="00A84BEE" w:rsidRDefault="00250BB2" w:rsidP="000F124A">
      <w:pPr>
        <w:pStyle w:val="Conditionsachats"/>
        <w:spacing w:before="300" w:after="120"/>
        <w:ind w:left="709" w:hanging="709"/>
        <w:rPr>
          <w:color w:val="000000" w:themeColor="text1"/>
          <w:sz w:val="24"/>
          <w:szCs w:val="24"/>
        </w:rPr>
      </w:pPr>
      <w:bookmarkStart w:id="21" w:name="_Toc399246835"/>
      <w:r w:rsidRPr="00A84BEE">
        <w:rPr>
          <w:color w:val="000000" w:themeColor="text1"/>
          <w:sz w:val="24"/>
          <w:szCs w:val="24"/>
        </w:rPr>
        <w:t>Ethique</w:t>
      </w:r>
      <w:r w:rsidR="00B87FB3" w:rsidRPr="00A84BEE">
        <w:rPr>
          <w:color w:val="000000" w:themeColor="text1"/>
          <w:sz w:val="24"/>
          <w:szCs w:val="24"/>
        </w:rPr>
        <w:t>/développement durable</w:t>
      </w:r>
      <w:bookmarkEnd w:id="21"/>
    </w:p>
    <w:p w:rsidR="00482758" w:rsidRPr="00A84BEE" w:rsidRDefault="00B87FB3" w:rsidP="00051C93">
      <w:pPr>
        <w:pStyle w:val="Paragraphedeliste"/>
        <w:numPr>
          <w:ilvl w:val="1"/>
          <w:numId w:val="1"/>
        </w:numPr>
        <w:ind w:left="709" w:hanging="709"/>
        <w:jc w:val="both"/>
        <w:rPr>
          <w:color w:val="000000" w:themeColor="text1"/>
        </w:rPr>
      </w:pPr>
      <w:bookmarkStart w:id="22" w:name="_Toc371420303"/>
      <w:r w:rsidRPr="00A84BEE">
        <w:rPr>
          <w:color w:val="000000" w:themeColor="text1"/>
        </w:rPr>
        <w:t xml:space="preserve">Le fournisseur et ses sous-traitants s’engagent à préserver l’environnement des effets nocifs de leur </w:t>
      </w:r>
      <w:proofErr w:type="spellStart"/>
      <w:r w:rsidRPr="00A84BEE">
        <w:rPr>
          <w:color w:val="000000" w:themeColor="text1"/>
        </w:rPr>
        <w:t>process</w:t>
      </w:r>
      <w:proofErr w:type="spellEnd"/>
      <w:r w:rsidRPr="00A84BEE">
        <w:rPr>
          <w:color w:val="000000" w:themeColor="text1"/>
        </w:rPr>
        <w:t xml:space="preserve"> dans la mesure du possible, en limitant l’usage de produits nocifs et toxiques.</w:t>
      </w:r>
      <w:bookmarkEnd w:id="22"/>
    </w:p>
    <w:p w:rsidR="00361FE2" w:rsidRPr="00A84BEE" w:rsidRDefault="00482758" w:rsidP="000F124A">
      <w:pPr>
        <w:pStyle w:val="Paragraphedeliste"/>
        <w:numPr>
          <w:ilvl w:val="1"/>
          <w:numId w:val="1"/>
        </w:numPr>
        <w:ind w:left="709" w:hanging="709"/>
        <w:jc w:val="both"/>
        <w:rPr>
          <w:color w:val="000000" w:themeColor="text1"/>
        </w:rPr>
      </w:pPr>
      <w:r w:rsidRPr="00A84BEE">
        <w:rPr>
          <w:color w:val="000000" w:themeColor="text1"/>
        </w:rPr>
        <w:t>Le fournisseur doit veiller au respect des droits humains en interne ainsi que chez ses propres sous-traitants en s’engageant à respecter et à faire respecter la convention no. 138 de l’Organisation Mondiale du Travail concernant l’âge minimum de l’admissi</w:t>
      </w:r>
      <w:r w:rsidR="000F124A" w:rsidRPr="00A84BEE">
        <w:rPr>
          <w:color w:val="000000" w:themeColor="text1"/>
        </w:rPr>
        <w:t>on à l’emploi.</w:t>
      </w:r>
    </w:p>
    <w:p w:rsidR="00FC6553" w:rsidRPr="00A84BEE" w:rsidRDefault="00FC6553" w:rsidP="003F3E13">
      <w:pPr>
        <w:pStyle w:val="Conditionsachats"/>
        <w:spacing w:before="300" w:after="120"/>
        <w:ind w:left="709" w:hanging="709"/>
        <w:rPr>
          <w:color w:val="000000" w:themeColor="text1"/>
          <w:sz w:val="24"/>
          <w:szCs w:val="24"/>
        </w:rPr>
      </w:pPr>
      <w:bookmarkStart w:id="23" w:name="_Toc399246836"/>
      <w:r w:rsidRPr="00A84BEE">
        <w:rPr>
          <w:color w:val="000000" w:themeColor="text1"/>
          <w:sz w:val="24"/>
          <w:szCs w:val="24"/>
        </w:rPr>
        <w:t>Droit applicable</w:t>
      </w:r>
      <w:bookmarkEnd w:id="23"/>
    </w:p>
    <w:p w:rsidR="00144EC4" w:rsidRPr="00A84BEE" w:rsidRDefault="00144EC4" w:rsidP="003F3E13">
      <w:pPr>
        <w:pStyle w:val="Paragraphedeliste"/>
        <w:ind w:left="709"/>
        <w:jc w:val="both"/>
        <w:rPr>
          <w:color w:val="000000" w:themeColor="text1"/>
        </w:rPr>
      </w:pPr>
      <w:r w:rsidRPr="00A84BEE">
        <w:rPr>
          <w:color w:val="000000" w:themeColor="text1"/>
        </w:rPr>
        <w:t xml:space="preserve">Toutes </w:t>
      </w:r>
      <w:r w:rsidR="00EC7CCE" w:rsidRPr="00A84BEE">
        <w:rPr>
          <w:color w:val="000000" w:themeColor="text1"/>
        </w:rPr>
        <w:t>les</w:t>
      </w:r>
      <w:r w:rsidRPr="00A84BEE">
        <w:rPr>
          <w:color w:val="000000" w:themeColor="text1"/>
        </w:rPr>
        <w:t xml:space="preserve"> commandes, bons de commande, contrats cadres, commandes cadres et contrats sont régis par les dispositions du droit suisse.</w:t>
      </w:r>
    </w:p>
    <w:p w:rsidR="007225EC" w:rsidRPr="00A84BEE" w:rsidRDefault="00051C93" w:rsidP="000F124A">
      <w:pPr>
        <w:ind w:left="687"/>
        <w:jc w:val="both"/>
        <w:rPr>
          <w:color w:val="000000" w:themeColor="text1"/>
        </w:rPr>
      </w:pPr>
      <w:r w:rsidRPr="00A84BEE">
        <w:rPr>
          <w:color w:val="000000" w:themeColor="text1"/>
        </w:rPr>
        <w:t>L’application des normes</w:t>
      </w:r>
      <w:r w:rsidR="007225EC" w:rsidRPr="00A84BEE">
        <w:rPr>
          <w:color w:val="000000" w:themeColor="text1"/>
        </w:rPr>
        <w:t xml:space="preserve"> de la convention des Nations-Unies su</w:t>
      </w:r>
      <w:r w:rsidRPr="00A84BEE">
        <w:rPr>
          <w:color w:val="000000" w:themeColor="text1"/>
        </w:rPr>
        <w:t>r les contrats de vente</w:t>
      </w:r>
      <w:r w:rsidR="007225EC" w:rsidRPr="00A84BEE">
        <w:rPr>
          <w:color w:val="000000" w:themeColor="text1"/>
        </w:rPr>
        <w:t xml:space="preserve"> internationale de marchandise (CISG) est exclue.</w:t>
      </w:r>
    </w:p>
    <w:p w:rsidR="00144EC4" w:rsidRPr="00A84BEE" w:rsidRDefault="00FC6553" w:rsidP="003F3E13">
      <w:pPr>
        <w:pStyle w:val="Conditionsachats"/>
        <w:spacing w:before="300" w:after="120"/>
        <w:ind w:left="709" w:hanging="709"/>
        <w:rPr>
          <w:color w:val="000000" w:themeColor="text1"/>
          <w:sz w:val="24"/>
          <w:szCs w:val="24"/>
        </w:rPr>
      </w:pPr>
      <w:bookmarkStart w:id="24" w:name="_Toc399246837"/>
      <w:r w:rsidRPr="00A84BEE">
        <w:rPr>
          <w:color w:val="000000" w:themeColor="text1"/>
          <w:sz w:val="24"/>
          <w:szCs w:val="24"/>
        </w:rPr>
        <w:t>Attribution de juridiction</w:t>
      </w:r>
      <w:bookmarkEnd w:id="24"/>
    </w:p>
    <w:p w:rsidR="007225EC" w:rsidRPr="00A84BEE" w:rsidRDefault="0095642C" w:rsidP="00E331BC">
      <w:pPr>
        <w:pStyle w:val="Paragraphedeliste"/>
        <w:ind w:left="709"/>
        <w:jc w:val="both"/>
        <w:rPr>
          <w:color w:val="000000" w:themeColor="text1"/>
        </w:rPr>
      </w:pPr>
      <w:r w:rsidRPr="00A84BEE">
        <w:rPr>
          <w:color w:val="000000" w:themeColor="text1"/>
        </w:rPr>
        <w:t>Pour tout litige</w:t>
      </w:r>
      <w:r w:rsidR="00144EC4" w:rsidRPr="00A84BEE">
        <w:rPr>
          <w:color w:val="000000" w:themeColor="text1"/>
        </w:rPr>
        <w:t xml:space="preserve">, il est expressément convenu que le </w:t>
      </w:r>
      <w:r w:rsidR="00ED174A" w:rsidRPr="00A84BEE">
        <w:rPr>
          <w:color w:val="000000" w:themeColor="text1"/>
        </w:rPr>
        <w:t xml:space="preserve">for juridique </w:t>
      </w:r>
      <w:r w:rsidR="00D26FC2" w:rsidRPr="00A84BEE">
        <w:rPr>
          <w:color w:val="000000" w:themeColor="text1"/>
        </w:rPr>
        <w:t>exclusif est</w:t>
      </w:r>
      <w:r w:rsidR="006D35E2" w:rsidRPr="00A84BEE">
        <w:rPr>
          <w:color w:val="000000" w:themeColor="text1"/>
        </w:rPr>
        <w:t xml:space="preserve"> au siège d</w:t>
      </w:r>
      <w:r w:rsidR="00A07ADA">
        <w:rPr>
          <w:color w:val="000000" w:themeColor="text1"/>
        </w:rPr>
        <w:t xml:space="preserve">e </w:t>
      </w:r>
      <w:proofErr w:type="spellStart"/>
      <w:r w:rsidR="002E700A">
        <w:rPr>
          <w:color w:val="000000" w:themeColor="text1"/>
        </w:rPr>
        <w:t>Interprox</w:t>
      </w:r>
      <w:proofErr w:type="spellEnd"/>
      <w:r w:rsidR="00A07ADA">
        <w:rPr>
          <w:color w:val="000000" w:themeColor="text1"/>
        </w:rPr>
        <w:t xml:space="preserve"> </w:t>
      </w:r>
      <w:r w:rsidR="006D35E2" w:rsidRPr="00A84BEE">
        <w:rPr>
          <w:color w:val="000000" w:themeColor="text1"/>
        </w:rPr>
        <w:t>SA, à Delémont.</w:t>
      </w:r>
    </w:p>
    <w:sectPr w:rsidR="007225EC" w:rsidRPr="00A84BEE" w:rsidSect="002D642B">
      <w:headerReference w:type="even" r:id="rId8"/>
      <w:headerReference w:type="default" r:id="rId9"/>
      <w:footerReference w:type="even" r:id="rId10"/>
      <w:footerReference w:type="default" r:id="rId11"/>
      <w:headerReference w:type="first" r:id="rId12"/>
      <w:footerReference w:type="first" r:id="rId13"/>
      <w:pgSz w:w="11906" w:h="16838" w:code="9"/>
      <w:pgMar w:top="1418" w:right="680" w:bottom="851" w:left="680"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A95" w:rsidRDefault="004B4A95" w:rsidP="003B3BC1">
      <w:pPr>
        <w:spacing w:after="0" w:line="240" w:lineRule="auto"/>
      </w:pPr>
      <w:r>
        <w:separator/>
      </w:r>
    </w:p>
  </w:endnote>
  <w:endnote w:type="continuationSeparator" w:id="0">
    <w:p w:rsidR="004B4A95" w:rsidRDefault="004B4A95" w:rsidP="003B3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00A" w:rsidRDefault="002E70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608003"/>
      <w:docPartObj>
        <w:docPartGallery w:val="Page Numbers (Bottom of Page)"/>
        <w:docPartUnique/>
      </w:docPartObj>
    </w:sdtPr>
    <w:sdtEndPr/>
    <w:sdtContent>
      <w:p w:rsidR="008E1AAE" w:rsidRDefault="008E1AAE">
        <w:pPr>
          <w:pStyle w:val="Pieddepage"/>
        </w:pPr>
      </w:p>
      <w:p w:rsidR="008E1AAE" w:rsidRDefault="008E1AAE">
        <w:pPr>
          <w:pStyle w:val="Pieddepage"/>
        </w:pPr>
      </w:p>
      <w:p w:rsidR="008E1AAE" w:rsidRDefault="008E1AAE">
        <w:pPr>
          <w:pStyle w:val="Pieddepage"/>
        </w:pPr>
      </w:p>
      <w:p w:rsidR="008E1AAE" w:rsidRDefault="008E1AAE">
        <w:pPr>
          <w:pStyle w:val="Pieddepage"/>
        </w:pPr>
      </w:p>
      <w:sdt>
        <w:sdtPr>
          <w:rPr>
            <w:sz w:val="20"/>
          </w:rPr>
          <w:id w:val="937109566"/>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sdt>
                <w:sdtPr>
                  <w:rPr>
                    <w:rFonts w:cstheme="minorHAnsi"/>
                    <w:sz w:val="20"/>
                    <w:szCs w:val="20"/>
                  </w:rPr>
                  <w:id w:val="-1938510332"/>
                  <w:docPartObj>
                    <w:docPartGallery w:val="Page Numbers (Bottom of Page)"/>
                    <w:docPartUnique/>
                  </w:docPartObj>
                </w:sdtPr>
                <w:sdtEndPr/>
                <w:sdtContent>
                  <w:p w:rsidR="008E1AAE" w:rsidRDefault="008E1AAE" w:rsidP="008E1AAE">
                    <w:pPr>
                      <w:pStyle w:val="Pieddepage"/>
                      <w:rPr>
                        <w:rFonts w:cstheme="minorHAnsi"/>
                        <w:sz w:val="20"/>
                        <w:szCs w:val="20"/>
                      </w:rPr>
                    </w:pPr>
                  </w:p>
                  <w:p w:rsidR="008E1AAE" w:rsidRPr="00DB37B9" w:rsidRDefault="008E1AAE" w:rsidP="008E1AAE">
                    <w:pPr>
                      <w:pStyle w:val="Pieddepage"/>
                      <w:rPr>
                        <w:rFonts w:cstheme="minorHAnsi"/>
                        <w:sz w:val="20"/>
                        <w:szCs w:val="20"/>
                      </w:rPr>
                    </w:pPr>
                    <w:r w:rsidRPr="00DB37B9">
                      <w:rPr>
                        <w:rFonts w:cstheme="minorHAnsi"/>
                        <w:sz w:val="20"/>
                        <w:szCs w:val="20"/>
                      </w:rPr>
                      <w:t>MP-101-</w:t>
                    </w:r>
                    <w:r>
                      <w:rPr>
                        <w:rFonts w:cstheme="minorHAnsi"/>
                        <w:sz w:val="20"/>
                        <w:szCs w:val="20"/>
                      </w:rPr>
                      <w:t>150</w:t>
                    </w:r>
                    <w:r w:rsidRPr="00DB37B9">
                      <w:rPr>
                        <w:rFonts w:cstheme="minorHAnsi"/>
                        <w:sz w:val="20"/>
                        <w:szCs w:val="20"/>
                      </w:rPr>
                      <w:t>-000/</w:t>
                    </w:r>
                    <w:r>
                      <w:rPr>
                        <w:rFonts w:cstheme="minorHAnsi"/>
                        <w:sz w:val="20"/>
                        <w:szCs w:val="20"/>
                      </w:rPr>
                      <w:t>Conditions générales d’</w:t>
                    </w:r>
                    <w:proofErr w:type="spellStart"/>
                    <w:r>
                      <w:rPr>
                        <w:rFonts w:cstheme="minorHAnsi"/>
                        <w:sz w:val="20"/>
                        <w:szCs w:val="20"/>
                      </w:rPr>
                      <w:t>achat_</w:t>
                    </w:r>
                    <w:bookmarkStart w:id="25" w:name="_GoBack"/>
                    <w:r w:rsidR="002E700A">
                      <w:rPr>
                        <w:rFonts w:cstheme="minorHAnsi"/>
                        <w:sz w:val="20"/>
                        <w:szCs w:val="20"/>
                      </w:rPr>
                      <w:t>Interprox</w:t>
                    </w:r>
                    <w:r w:rsidR="002E700A">
                      <w:rPr>
                        <w:rFonts w:cstheme="minorHAnsi"/>
                        <w:sz w:val="20"/>
                        <w:szCs w:val="20"/>
                      </w:rPr>
                      <w:t>_SA</w:t>
                    </w:r>
                    <w:proofErr w:type="spellEnd"/>
                    <w:r w:rsidR="002E700A">
                      <w:rPr>
                        <w:rFonts w:cstheme="minorHAnsi"/>
                        <w:sz w:val="20"/>
                        <w:szCs w:val="20"/>
                      </w:rPr>
                      <w:t xml:space="preserve"> &amp; </w:t>
                    </w:r>
                    <w:proofErr w:type="spellStart"/>
                    <w:r w:rsidR="002E700A">
                      <w:rPr>
                        <w:rFonts w:cstheme="minorHAnsi"/>
                        <w:sz w:val="20"/>
                        <w:szCs w:val="20"/>
                      </w:rPr>
                      <w:t>duotec</w:t>
                    </w:r>
                    <w:proofErr w:type="spellEnd"/>
                    <w:r w:rsidR="002E700A">
                      <w:rPr>
                        <w:rFonts w:cstheme="minorHAnsi"/>
                        <w:sz w:val="20"/>
                        <w:szCs w:val="20"/>
                      </w:rPr>
                      <w:t xml:space="preserve"> Operations SA</w:t>
                    </w:r>
                    <w:bookmarkEnd w:id="25"/>
                    <w:r>
                      <w:rPr>
                        <w:rFonts w:cstheme="minorHAnsi"/>
                        <w:sz w:val="20"/>
                        <w:szCs w:val="20"/>
                      </w:rPr>
                      <w:t>_FR</w:t>
                    </w:r>
                    <w:r w:rsidRPr="00DB37B9">
                      <w:rPr>
                        <w:rFonts w:cstheme="minorHAnsi"/>
                        <w:sz w:val="20"/>
                        <w:szCs w:val="20"/>
                      </w:rPr>
                      <w:t>/</w:t>
                    </w:r>
                    <w:r>
                      <w:rPr>
                        <w:rFonts w:cstheme="minorHAnsi"/>
                        <w:sz w:val="20"/>
                        <w:szCs w:val="20"/>
                      </w:rPr>
                      <w:t xml:space="preserve">Création </w:t>
                    </w:r>
                    <w:r w:rsidRPr="00DB37B9">
                      <w:rPr>
                        <w:rFonts w:cstheme="minorHAnsi"/>
                        <w:sz w:val="20"/>
                        <w:szCs w:val="20"/>
                      </w:rPr>
                      <w:t xml:space="preserve">: </w:t>
                    </w:r>
                    <w:r>
                      <w:rPr>
                        <w:rFonts w:cstheme="minorHAnsi"/>
                        <w:sz w:val="20"/>
                        <w:szCs w:val="20"/>
                      </w:rPr>
                      <w:t>2018/</w:t>
                    </w:r>
                    <w:r w:rsidR="00334EF7">
                      <w:rPr>
                        <w:rFonts w:cstheme="minorHAnsi"/>
                        <w:sz w:val="20"/>
                        <w:szCs w:val="20"/>
                      </w:rPr>
                      <w:t>Dernière m</w:t>
                    </w:r>
                    <w:r>
                      <w:rPr>
                        <w:rFonts w:cstheme="minorHAnsi"/>
                        <w:sz w:val="20"/>
                        <w:szCs w:val="20"/>
                      </w:rPr>
                      <w:t>odification :</w:t>
                    </w:r>
                    <w:r w:rsidR="00A929DD">
                      <w:rPr>
                        <w:rFonts w:cstheme="minorHAnsi"/>
                        <w:sz w:val="20"/>
                        <w:szCs w:val="20"/>
                      </w:rPr>
                      <w:t xml:space="preserve"> JKN</w:t>
                    </w:r>
                    <w:r>
                      <w:rPr>
                        <w:rFonts w:cstheme="minorHAnsi"/>
                        <w:sz w:val="20"/>
                        <w:szCs w:val="20"/>
                      </w:rPr>
                      <w:t xml:space="preserve"> </w:t>
                    </w:r>
                    <w:r w:rsidR="00A07ADA">
                      <w:rPr>
                        <w:rFonts w:cstheme="minorHAnsi"/>
                        <w:sz w:val="20"/>
                        <w:szCs w:val="20"/>
                      </w:rPr>
                      <w:t>26.11.2021</w:t>
                    </w:r>
                  </w:p>
                </w:sdtContent>
              </w:sdt>
              <w:p w:rsidR="008E1AAE" w:rsidRPr="000D0213" w:rsidRDefault="008E1AAE" w:rsidP="008E1AAE">
                <w:pPr>
                  <w:pStyle w:val="Pieddepage"/>
                  <w:jc w:val="right"/>
                  <w:rPr>
                    <w:sz w:val="20"/>
                  </w:rPr>
                </w:pPr>
                <w:r w:rsidRPr="00024AA3">
                  <w:rPr>
                    <w:rFonts w:ascii="Calibri Light" w:eastAsia="Calibri" w:hAnsi="Calibri Light" w:cs="Times New Roman"/>
                    <w:noProof/>
                    <w:sz w:val="28"/>
                    <w:szCs w:val="28"/>
                    <w:lang w:eastAsia="fr-CH"/>
                  </w:rPr>
                  <mc:AlternateContent>
                    <mc:Choice Requires="wps">
                      <w:drawing>
                        <wp:anchor distT="0" distB="0" distL="114300" distR="114300" simplePos="0" relativeHeight="251658240" behindDoc="0" locked="0" layoutInCell="1" allowOverlap="1" wp14:anchorId="1DBA46BF" wp14:editId="0E38C98F">
                          <wp:simplePos x="0" y="0"/>
                          <wp:positionH relativeFrom="margin">
                            <wp:posOffset>6203315</wp:posOffset>
                          </wp:positionH>
                          <wp:positionV relativeFrom="bottomMargin">
                            <wp:posOffset>997585</wp:posOffset>
                          </wp:positionV>
                          <wp:extent cx="512445" cy="441325"/>
                          <wp:effectExtent l="0" t="0" r="0" b="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E1AAE" w:rsidRDefault="008E1AAE" w:rsidP="008E1AAE">
                                      <w:pPr>
                                        <w:pStyle w:val="Pieddepage"/>
                                        <w:pBdr>
                                          <w:top w:val="single" w:sz="12" w:space="1" w:color="A5A5A5"/>
                                          <w:bottom w:val="single" w:sz="48" w:space="1" w:color="A5A5A5"/>
                                        </w:pBdr>
                                        <w:jc w:val="center"/>
                                        <w:rPr>
                                          <w:sz w:val="28"/>
                                          <w:szCs w:val="28"/>
                                        </w:rPr>
                                      </w:pPr>
                                      <w:r>
                                        <w:fldChar w:fldCharType="begin"/>
                                      </w:r>
                                      <w:r>
                                        <w:instrText>PAGE    \* MERGEFORMAT</w:instrText>
                                      </w:r>
                                      <w:r>
                                        <w:fldChar w:fldCharType="separate"/>
                                      </w:r>
                                      <w:r w:rsidR="002E700A" w:rsidRPr="002E700A">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A46B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left:0;text-align:left;margin-left:488.45pt;margin-top:78.55pt;width:40.35pt;height:3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ECzwIAANYFAAAOAAAAZHJzL2Uyb0RvYy54bWysVG2O0zAQ/Y/EHSz/z+ajTttEm6Ju0yKk&#10;hV1p4QBu4jQWiR1st+mCuAtn4WSMnbbb7goJAa1keWzPzHszL3P9Zt82aMeU5lJkOLwKMGKikCUX&#10;mwx/+rjyphhpQ0VJGylYhh+Zxm9mr19d913KIlnLpmQKQRCh077LcG1Ml/q+LmrWUn0lOybgspKq&#10;pQZMtfFLRXuI3jZ+FARjv5eq7JQsmNZwmg+XeObiVxUrzF1VaWZQk2HAZtyq3Lq2qz+7pulG0a7m&#10;xQEG/QsULeUCkp5C5dRQtFX8RaiWF0pqWZmrQra+rCpeMMcB2ITBMzYPNe2Y4wLF0d2pTPr/hS0+&#10;7O4V4iX0DiNBW2jRndpQwaEmbct+/kjRvDFMCWr4jqHQFqzvdAp+D929spR1dyuLzxoJuaip2LC5&#10;UrKvGS0BpnvvXzhYQ4MrWvfvZQn56NZIV7t9pVobEKqC9q5Fj6cWsb1BBRzGYURIjFEBV4SEoyi2&#10;iHyaHp07pc1bJltkNxmuGtkDLGWOLNj9IBaXke5utRn8j34WgJAr3jROGo24OIBEwwngAVd7Z5G5&#10;Tn9LgmQ5XU6JR6Lx0iNBnnvz1YJ441U4ifNRvljk4XebNyRpzcuSCZvmqLqQ/FlXD/of9HLSnZYN&#10;L204C0mrzXrRKLSjoPp4MR3dkEOVzp75lzBcEYHLM0pQ7uAmSrzVeDrxyIrEXjIJpl4QJjfJOCAJ&#10;yVeXlG65YP9OCfUZTmJorqPzW26Tkf2/5EbTloNoUcPbDE8D+7OPaGpluRSl2xvKm2F/VgoL/6kU&#10;0O5jo52IrW4H/Zv9eg9RrJjXsnwEOSsJcoMRA8MQNrVUXzHqYbBkWH/ZUsUwat4J+CSSkBA7iZxB&#10;4kkEhjq/WZ/fUFFAqAwbjIbtwgzTa9spvqkhU+hqJOQcPqOKOzU/oQIq1oDh4UgdBp2dTue2e/U0&#10;jme/AAAA//8DAFBLAwQUAAYACAAAACEAn14+v98AAAAMAQAADwAAAGRycy9kb3ducmV2LnhtbEyP&#10;y07DMBBF90j8gzVI7KjToDgkxKkQFWJLS8t6Gk+TqH5EsduEv8dd0eXoHt17plrNRrMLjb53VsJy&#10;kQAj2zjV21bC7vvj6QWYD2gVamdJwi95WNX3dxWWyk12Q5dtaFkssb5ECV0IQ8m5bzoy6BduIBuz&#10;oxsNhniOLVcjTrHcaJ4mieAGexsXOhzovaPmtD0bCXsxNev2efOz/9rhJ591MayzIOXjw/z2CizQ&#10;HP5huOpHdaij08GdrfJMSyhyUUQ0Blm+BHYlkiwXwA4S0lQI4HXFb5+o/wAAAP//AwBQSwECLQAU&#10;AAYACAAAACEAtoM4kv4AAADhAQAAEwAAAAAAAAAAAAAAAAAAAAAAW0NvbnRlbnRfVHlwZXNdLnht&#10;bFBLAQItABQABgAIAAAAIQA4/SH/1gAAAJQBAAALAAAAAAAAAAAAAAAAAC8BAABfcmVscy8ucmVs&#10;c1BLAQItABQABgAIAAAAIQBUEMECzwIAANYFAAAOAAAAAAAAAAAAAAAAAC4CAABkcnMvZTJvRG9j&#10;LnhtbFBLAQItABQABgAIAAAAIQCfXj6/3wAAAAwBAAAPAAAAAAAAAAAAAAAAACkFAABkcnMvZG93&#10;bnJldi54bWxQSwUGAAAAAAQABADzAAAANQYAAAAA&#10;" filled="f" fillcolor="#5c83b4" stroked="f" strokecolor="#737373">
                          <v:textbox>
                            <w:txbxContent>
                              <w:p w:rsidR="008E1AAE" w:rsidRDefault="008E1AAE" w:rsidP="008E1AAE">
                                <w:pPr>
                                  <w:pStyle w:val="Pieddepage"/>
                                  <w:pBdr>
                                    <w:top w:val="single" w:sz="12" w:space="1" w:color="A5A5A5"/>
                                    <w:bottom w:val="single" w:sz="48" w:space="1" w:color="A5A5A5"/>
                                  </w:pBdr>
                                  <w:jc w:val="center"/>
                                  <w:rPr>
                                    <w:sz w:val="28"/>
                                    <w:szCs w:val="28"/>
                                  </w:rPr>
                                </w:pPr>
                                <w:r>
                                  <w:fldChar w:fldCharType="begin"/>
                                </w:r>
                                <w:r>
                                  <w:instrText>PAGE    \* MERGEFORMAT</w:instrText>
                                </w:r>
                                <w:r>
                                  <w:fldChar w:fldCharType="separate"/>
                                </w:r>
                                <w:r w:rsidR="002E700A" w:rsidRPr="002E700A">
                                  <w:rPr>
                                    <w:noProof/>
                                    <w:sz w:val="28"/>
                                    <w:szCs w:val="28"/>
                                  </w:rPr>
                                  <w:t>1</w:t>
                                </w:r>
                                <w:r>
                                  <w:rPr>
                                    <w:sz w:val="28"/>
                                    <w:szCs w:val="28"/>
                                  </w:rPr>
                                  <w:fldChar w:fldCharType="end"/>
                                </w:r>
                              </w:p>
                            </w:txbxContent>
                          </v:textbox>
                          <w10:wrap anchorx="margin" anchory="margin"/>
                        </v:shape>
                      </w:pict>
                    </mc:Fallback>
                  </mc:AlternateContent>
                </w:r>
                <w:r>
                  <w:rPr>
                    <w:sz w:val="20"/>
                  </w:rPr>
                  <w:t xml:space="preserve"> </w:t>
                </w:r>
              </w:p>
            </w:sdtContent>
          </w:sdt>
        </w:sdtContent>
      </w:sdt>
      <w:p w:rsidR="008E1AAE" w:rsidRDefault="008E1AAE" w:rsidP="008E1AAE">
        <w:pPr>
          <w:pStyle w:val="Pieddepage"/>
        </w:pPr>
      </w:p>
      <w:p w:rsidR="001544BD" w:rsidRDefault="002E700A">
        <w:pPr>
          <w:pStyle w:val="Pieddepage"/>
        </w:pPr>
      </w:p>
    </w:sdtContent>
  </w:sdt>
  <w:p w:rsidR="003B3BC1" w:rsidRDefault="003B3BC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00A" w:rsidRDefault="002E70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A95" w:rsidRDefault="004B4A95" w:rsidP="003B3BC1">
      <w:pPr>
        <w:spacing w:after="0" w:line="240" w:lineRule="auto"/>
      </w:pPr>
      <w:r>
        <w:separator/>
      </w:r>
    </w:p>
  </w:footnote>
  <w:footnote w:type="continuationSeparator" w:id="0">
    <w:p w:rsidR="004B4A95" w:rsidRDefault="004B4A95" w:rsidP="003B3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00A" w:rsidRDefault="002E70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37" w:rsidRDefault="002E700A">
    <w:pPr>
      <w:pStyle w:val="En-tt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45pt">
          <v:imagedata r:id="rId1" o:title="duotec_logo_rebrand_10_2021"/>
        </v:shape>
      </w:pict>
    </w:r>
  </w:p>
  <w:p w:rsidR="006F5637" w:rsidRDefault="006F5637">
    <w:pPr>
      <w:pStyle w:val="En-tte"/>
    </w:pPr>
  </w:p>
  <w:p w:rsidR="006F5637" w:rsidRDefault="006F563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00A" w:rsidRDefault="002E70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752BE"/>
    <w:multiLevelType w:val="hybridMultilevel"/>
    <w:tmpl w:val="D700C27E"/>
    <w:lvl w:ilvl="0" w:tplc="479ECBBE">
      <w:numFmt w:val="bullet"/>
      <w:lvlText w:val="-"/>
      <w:lvlJc w:val="left"/>
      <w:pPr>
        <w:ind w:left="2088" w:hanging="360"/>
      </w:pPr>
      <w:rPr>
        <w:rFonts w:ascii="Calibri" w:eastAsiaTheme="minorHAnsi" w:hAnsi="Calibri" w:cstheme="minorBidi" w:hint="default"/>
      </w:rPr>
    </w:lvl>
    <w:lvl w:ilvl="1" w:tplc="100C0003" w:tentative="1">
      <w:start w:val="1"/>
      <w:numFmt w:val="bullet"/>
      <w:lvlText w:val="o"/>
      <w:lvlJc w:val="left"/>
      <w:pPr>
        <w:ind w:left="2808" w:hanging="360"/>
      </w:pPr>
      <w:rPr>
        <w:rFonts w:ascii="Courier New" w:hAnsi="Courier New" w:cs="Courier New" w:hint="default"/>
      </w:rPr>
    </w:lvl>
    <w:lvl w:ilvl="2" w:tplc="100C0005" w:tentative="1">
      <w:start w:val="1"/>
      <w:numFmt w:val="bullet"/>
      <w:lvlText w:val=""/>
      <w:lvlJc w:val="left"/>
      <w:pPr>
        <w:ind w:left="3528" w:hanging="360"/>
      </w:pPr>
      <w:rPr>
        <w:rFonts w:ascii="Wingdings" w:hAnsi="Wingdings" w:hint="default"/>
      </w:rPr>
    </w:lvl>
    <w:lvl w:ilvl="3" w:tplc="100C0001" w:tentative="1">
      <w:start w:val="1"/>
      <w:numFmt w:val="bullet"/>
      <w:lvlText w:val=""/>
      <w:lvlJc w:val="left"/>
      <w:pPr>
        <w:ind w:left="4248" w:hanging="360"/>
      </w:pPr>
      <w:rPr>
        <w:rFonts w:ascii="Symbol" w:hAnsi="Symbol" w:hint="default"/>
      </w:rPr>
    </w:lvl>
    <w:lvl w:ilvl="4" w:tplc="100C0003" w:tentative="1">
      <w:start w:val="1"/>
      <w:numFmt w:val="bullet"/>
      <w:lvlText w:val="o"/>
      <w:lvlJc w:val="left"/>
      <w:pPr>
        <w:ind w:left="4968" w:hanging="360"/>
      </w:pPr>
      <w:rPr>
        <w:rFonts w:ascii="Courier New" w:hAnsi="Courier New" w:cs="Courier New" w:hint="default"/>
      </w:rPr>
    </w:lvl>
    <w:lvl w:ilvl="5" w:tplc="100C0005" w:tentative="1">
      <w:start w:val="1"/>
      <w:numFmt w:val="bullet"/>
      <w:lvlText w:val=""/>
      <w:lvlJc w:val="left"/>
      <w:pPr>
        <w:ind w:left="5688" w:hanging="360"/>
      </w:pPr>
      <w:rPr>
        <w:rFonts w:ascii="Wingdings" w:hAnsi="Wingdings" w:hint="default"/>
      </w:rPr>
    </w:lvl>
    <w:lvl w:ilvl="6" w:tplc="100C0001" w:tentative="1">
      <w:start w:val="1"/>
      <w:numFmt w:val="bullet"/>
      <w:lvlText w:val=""/>
      <w:lvlJc w:val="left"/>
      <w:pPr>
        <w:ind w:left="6408" w:hanging="360"/>
      </w:pPr>
      <w:rPr>
        <w:rFonts w:ascii="Symbol" w:hAnsi="Symbol" w:hint="default"/>
      </w:rPr>
    </w:lvl>
    <w:lvl w:ilvl="7" w:tplc="100C0003" w:tentative="1">
      <w:start w:val="1"/>
      <w:numFmt w:val="bullet"/>
      <w:lvlText w:val="o"/>
      <w:lvlJc w:val="left"/>
      <w:pPr>
        <w:ind w:left="7128" w:hanging="360"/>
      </w:pPr>
      <w:rPr>
        <w:rFonts w:ascii="Courier New" w:hAnsi="Courier New" w:cs="Courier New" w:hint="default"/>
      </w:rPr>
    </w:lvl>
    <w:lvl w:ilvl="8" w:tplc="100C0005" w:tentative="1">
      <w:start w:val="1"/>
      <w:numFmt w:val="bullet"/>
      <w:lvlText w:val=""/>
      <w:lvlJc w:val="left"/>
      <w:pPr>
        <w:ind w:left="7848" w:hanging="360"/>
      </w:pPr>
      <w:rPr>
        <w:rFonts w:ascii="Wingdings" w:hAnsi="Wingdings" w:hint="default"/>
      </w:rPr>
    </w:lvl>
  </w:abstractNum>
  <w:abstractNum w:abstractNumId="1" w15:restartNumberingAfterBreak="0">
    <w:nsid w:val="337B3A46"/>
    <w:multiLevelType w:val="multilevel"/>
    <w:tmpl w:val="9FA896D6"/>
    <w:lvl w:ilvl="0">
      <w:start w:val="1"/>
      <w:numFmt w:val="decimal"/>
      <w:pStyle w:val="Conditionsachats"/>
      <w:lvlText w:val="%1."/>
      <w:lvlJc w:val="left"/>
      <w:pPr>
        <w:ind w:left="2062"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32071B"/>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5F6CDA"/>
    <w:multiLevelType w:val="hybridMultilevel"/>
    <w:tmpl w:val="0A94337C"/>
    <w:lvl w:ilvl="0" w:tplc="A608F148">
      <w:start w:val="1"/>
      <w:numFmt w:val="decimal"/>
      <w:lvlText w:val="%1."/>
      <w:lvlJc w:val="left"/>
      <w:pPr>
        <w:ind w:left="405" w:hanging="360"/>
      </w:pPr>
      <w:rPr>
        <w:rFonts w:hint="default"/>
      </w:rPr>
    </w:lvl>
    <w:lvl w:ilvl="1" w:tplc="100C0019" w:tentative="1">
      <w:start w:val="1"/>
      <w:numFmt w:val="lowerLetter"/>
      <w:lvlText w:val="%2."/>
      <w:lvlJc w:val="left"/>
      <w:pPr>
        <w:ind w:left="1125" w:hanging="360"/>
      </w:pPr>
    </w:lvl>
    <w:lvl w:ilvl="2" w:tplc="100C001B" w:tentative="1">
      <w:start w:val="1"/>
      <w:numFmt w:val="lowerRoman"/>
      <w:lvlText w:val="%3."/>
      <w:lvlJc w:val="right"/>
      <w:pPr>
        <w:ind w:left="1845" w:hanging="180"/>
      </w:pPr>
    </w:lvl>
    <w:lvl w:ilvl="3" w:tplc="100C000F" w:tentative="1">
      <w:start w:val="1"/>
      <w:numFmt w:val="decimal"/>
      <w:lvlText w:val="%4."/>
      <w:lvlJc w:val="left"/>
      <w:pPr>
        <w:ind w:left="2565" w:hanging="360"/>
      </w:pPr>
    </w:lvl>
    <w:lvl w:ilvl="4" w:tplc="100C0019" w:tentative="1">
      <w:start w:val="1"/>
      <w:numFmt w:val="lowerLetter"/>
      <w:lvlText w:val="%5."/>
      <w:lvlJc w:val="left"/>
      <w:pPr>
        <w:ind w:left="3285" w:hanging="360"/>
      </w:pPr>
    </w:lvl>
    <w:lvl w:ilvl="5" w:tplc="100C001B" w:tentative="1">
      <w:start w:val="1"/>
      <w:numFmt w:val="lowerRoman"/>
      <w:lvlText w:val="%6."/>
      <w:lvlJc w:val="right"/>
      <w:pPr>
        <w:ind w:left="4005" w:hanging="180"/>
      </w:pPr>
    </w:lvl>
    <w:lvl w:ilvl="6" w:tplc="100C000F" w:tentative="1">
      <w:start w:val="1"/>
      <w:numFmt w:val="decimal"/>
      <w:lvlText w:val="%7."/>
      <w:lvlJc w:val="left"/>
      <w:pPr>
        <w:ind w:left="4725" w:hanging="360"/>
      </w:pPr>
    </w:lvl>
    <w:lvl w:ilvl="7" w:tplc="100C0019" w:tentative="1">
      <w:start w:val="1"/>
      <w:numFmt w:val="lowerLetter"/>
      <w:lvlText w:val="%8."/>
      <w:lvlJc w:val="left"/>
      <w:pPr>
        <w:ind w:left="5445" w:hanging="360"/>
      </w:pPr>
    </w:lvl>
    <w:lvl w:ilvl="8" w:tplc="100C001B" w:tentative="1">
      <w:start w:val="1"/>
      <w:numFmt w:val="lowerRoman"/>
      <w:lvlText w:val="%9."/>
      <w:lvlJc w:val="right"/>
      <w:pPr>
        <w:ind w:left="6165" w:hanging="180"/>
      </w:pPr>
    </w:lvl>
  </w:abstractNum>
  <w:num w:numId="1">
    <w:abstractNumId w:val="1"/>
  </w:num>
  <w:num w:numId="2">
    <w:abstractNumId w:val="0"/>
  </w:num>
  <w:num w:numId="3">
    <w:abstractNumId w:val="2"/>
  </w:num>
  <w:num w:numId="4">
    <w:abstractNumId w:val="1"/>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53"/>
    <w:rsid w:val="00006297"/>
    <w:rsid w:val="00011FA7"/>
    <w:rsid w:val="00015862"/>
    <w:rsid w:val="000172F4"/>
    <w:rsid w:val="0003407A"/>
    <w:rsid w:val="000407F5"/>
    <w:rsid w:val="00043B53"/>
    <w:rsid w:val="00051C93"/>
    <w:rsid w:val="0005599B"/>
    <w:rsid w:val="00097FEC"/>
    <w:rsid w:val="000C08A5"/>
    <w:rsid w:val="000C2882"/>
    <w:rsid w:val="000D7EDC"/>
    <w:rsid w:val="000E2AA9"/>
    <w:rsid w:val="000F124A"/>
    <w:rsid w:val="00113BD9"/>
    <w:rsid w:val="00144EC4"/>
    <w:rsid w:val="00153169"/>
    <w:rsid w:val="001544BD"/>
    <w:rsid w:val="00164216"/>
    <w:rsid w:val="00197DF1"/>
    <w:rsid w:val="001A40EE"/>
    <w:rsid w:val="001B2882"/>
    <w:rsid w:val="001D1E25"/>
    <w:rsid w:val="001F4722"/>
    <w:rsid w:val="002044E8"/>
    <w:rsid w:val="0024141E"/>
    <w:rsid w:val="00250BB2"/>
    <w:rsid w:val="0025556B"/>
    <w:rsid w:val="002649D6"/>
    <w:rsid w:val="00291901"/>
    <w:rsid w:val="002B29BC"/>
    <w:rsid w:val="002C3241"/>
    <w:rsid w:val="002C5B23"/>
    <w:rsid w:val="002D642B"/>
    <w:rsid w:val="002E678C"/>
    <w:rsid w:val="002E6EB2"/>
    <w:rsid w:val="002E700A"/>
    <w:rsid w:val="002F6173"/>
    <w:rsid w:val="00307215"/>
    <w:rsid w:val="00310EFD"/>
    <w:rsid w:val="0032696A"/>
    <w:rsid w:val="003278F5"/>
    <w:rsid w:val="00334EF7"/>
    <w:rsid w:val="003419AE"/>
    <w:rsid w:val="003440EC"/>
    <w:rsid w:val="0034776D"/>
    <w:rsid w:val="00356650"/>
    <w:rsid w:val="00361FE2"/>
    <w:rsid w:val="0038060B"/>
    <w:rsid w:val="00380B1D"/>
    <w:rsid w:val="0039073A"/>
    <w:rsid w:val="003A2AA0"/>
    <w:rsid w:val="003A7D1A"/>
    <w:rsid w:val="003B3BC1"/>
    <w:rsid w:val="003D6092"/>
    <w:rsid w:val="003E3067"/>
    <w:rsid w:val="003F3E13"/>
    <w:rsid w:val="0041653A"/>
    <w:rsid w:val="00422C4E"/>
    <w:rsid w:val="0043651B"/>
    <w:rsid w:val="004407B2"/>
    <w:rsid w:val="00444642"/>
    <w:rsid w:val="00450765"/>
    <w:rsid w:val="00454982"/>
    <w:rsid w:val="00466879"/>
    <w:rsid w:val="00482758"/>
    <w:rsid w:val="00492512"/>
    <w:rsid w:val="0049302A"/>
    <w:rsid w:val="004B4A95"/>
    <w:rsid w:val="004C793D"/>
    <w:rsid w:val="004E0EF8"/>
    <w:rsid w:val="004F5A92"/>
    <w:rsid w:val="005120ED"/>
    <w:rsid w:val="00537026"/>
    <w:rsid w:val="00543285"/>
    <w:rsid w:val="00554BA1"/>
    <w:rsid w:val="00565BFE"/>
    <w:rsid w:val="00571727"/>
    <w:rsid w:val="0057449B"/>
    <w:rsid w:val="00577B2E"/>
    <w:rsid w:val="00595B30"/>
    <w:rsid w:val="00596127"/>
    <w:rsid w:val="005A57FC"/>
    <w:rsid w:val="005E112F"/>
    <w:rsid w:val="005E1F10"/>
    <w:rsid w:val="005E4403"/>
    <w:rsid w:val="005E71DD"/>
    <w:rsid w:val="00631570"/>
    <w:rsid w:val="0063174E"/>
    <w:rsid w:val="00631DE5"/>
    <w:rsid w:val="00632C44"/>
    <w:rsid w:val="00634C45"/>
    <w:rsid w:val="00635878"/>
    <w:rsid w:val="00643D6D"/>
    <w:rsid w:val="00680742"/>
    <w:rsid w:val="00681123"/>
    <w:rsid w:val="0068601D"/>
    <w:rsid w:val="00693216"/>
    <w:rsid w:val="00694E00"/>
    <w:rsid w:val="006A785D"/>
    <w:rsid w:val="006B3B46"/>
    <w:rsid w:val="006C1FC8"/>
    <w:rsid w:val="006D35E2"/>
    <w:rsid w:val="006F5637"/>
    <w:rsid w:val="00712873"/>
    <w:rsid w:val="00717A2F"/>
    <w:rsid w:val="007225EC"/>
    <w:rsid w:val="00722C9D"/>
    <w:rsid w:val="00763582"/>
    <w:rsid w:val="007A12D2"/>
    <w:rsid w:val="007C23E9"/>
    <w:rsid w:val="007C7E32"/>
    <w:rsid w:val="007D0710"/>
    <w:rsid w:val="007E19F7"/>
    <w:rsid w:val="007F065C"/>
    <w:rsid w:val="00811466"/>
    <w:rsid w:val="008129ED"/>
    <w:rsid w:val="0081760C"/>
    <w:rsid w:val="008208C9"/>
    <w:rsid w:val="00823252"/>
    <w:rsid w:val="0082602B"/>
    <w:rsid w:val="00831B2A"/>
    <w:rsid w:val="00835D58"/>
    <w:rsid w:val="0085693C"/>
    <w:rsid w:val="0087153C"/>
    <w:rsid w:val="0088522A"/>
    <w:rsid w:val="008A46EF"/>
    <w:rsid w:val="008A642C"/>
    <w:rsid w:val="008C0433"/>
    <w:rsid w:val="008D2886"/>
    <w:rsid w:val="008D5B6D"/>
    <w:rsid w:val="008E1AAE"/>
    <w:rsid w:val="008E2814"/>
    <w:rsid w:val="00901BA1"/>
    <w:rsid w:val="00905F67"/>
    <w:rsid w:val="009176E7"/>
    <w:rsid w:val="00924CAD"/>
    <w:rsid w:val="00955ACD"/>
    <w:rsid w:val="0095642C"/>
    <w:rsid w:val="00966DB0"/>
    <w:rsid w:val="009A3B72"/>
    <w:rsid w:val="009B243A"/>
    <w:rsid w:val="009B43DB"/>
    <w:rsid w:val="009B5E6F"/>
    <w:rsid w:val="009D6D1F"/>
    <w:rsid w:val="009E7F4F"/>
    <w:rsid w:val="009F28D0"/>
    <w:rsid w:val="009F643B"/>
    <w:rsid w:val="009F7B50"/>
    <w:rsid w:val="00A07ADA"/>
    <w:rsid w:val="00A1074A"/>
    <w:rsid w:val="00A10FED"/>
    <w:rsid w:val="00A224C9"/>
    <w:rsid w:val="00A23388"/>
    <w:rsid w:val="00A41A8A"/>
    <w:rsid w:val="00A46B0E"/>
    <w:rsid w:val="00A510E8"/>
    <w:rsid w:val="00A537E7"/>
    <w:rsid w:val="00A54623"/>
    <w:rsid w:val="00A63F5D"/>
    <w:rsid w:val="00A82E98"/>
    <w:rsid w:val="00A84BEE"/>
    <w:rsid w:val="00A929DD"/>
    <w:rsid w:val="00AA60D6"/>
    <w:rsid w:val="00AA6D83"/>
    <w:rsid w:val="00AC2BDA"/>
    <w:rsid w:val="00AE3587"/>
    <w:rsid w:val="00AF3D09"/>
    <w:rsid w:val="00AF65AD"/>
    <w:rsid w:val="00B1546B"/>
    <w:rsid w:val="00B45F9E"/>
    <w:rsid w:val="00B5248E"/>
    <w:rsid w:val="00B578E1"/>
    <w:rsid w:val="00B63260"/>
    <w:rsid w:val="00B634EB"/>
    <w:rsid w:val="00B87FB3"/>
    <w:rsid w:val="00B96C78"/>
    <w:rsid w:val="00BA6A46"/>
    <w:rsid w:val="00BC3218"/>
    <w:rsid w:val="00BC464A"/>
    <w:rsid w:val="00BE5D08"/>
    <w:rsid w:val="00BF79DE"/>
    <w:rsid w:val="00C046CE"/>
    <w:rsid w:val="00C13CE1"/>
    <w:rsid w:val="00C2121A"/>
    <w:rsid w:val="00C32D24"/>
    <w:rsid w:val="00C46D75"/>
    <w:rsid w:val="00C61E71"/>
    <w:rsid w:val="00C700A1"/>
    <w:rsid w:val="00C82825"/>
    <w:rsid w:val="00C8761A"/>
    <w:rsid w:val="00C9185D"/>
    <w:rsid w:val="00C91D1A"/>
    <w:rsid w:val="00C93C5A"/>
    <w:rsid w:val="00CA7DDE"/>
    <w:rsid w:val="00CB3ED0"/>
    <w:rsid w:val="00CB5554"/>
    <w:rsid w:val="00CB6A21"/>
    <w:rsid w:val="00CC1F71"/>
    <w:rsid w:val="00D22F79"/>
    <w:rsid w:val="00D26FC2"/>
    <w:rsid w:val="00D4105C"/>
    <w:rsid w:val="00D95811"/>
    <w:rsid w:val="00D95BBF"/>
    <w:rsid w:val="00DA14C7"/>
    <w:rsid w:val="00DA4CE3"/>
    <w:rsid w:val="00DA7E35"/>
    <w:rsid w:val="00DB0320"/>
    <w:rsid w:val="00DD2FC2"/>
    <w:rsid w:val="00DD5EB4"/>
    <w:rsid w:val="00E01756"/>
    <w:rsid w:val="00E01DFD"/>
    <w:rsid w:val="00E16B52"/>
    <w:rsid w:val="00E203D0"/>
    <w:rsid w:val="00E331BC"/>
    <w:rsid w:val="00E427FE"/>
    <w:rsid w:val="00E52DCE"/>
    <w:rsid w:val="00E84752"/>
    <w:rsid w:val="00EC24CD"/>
    <w:rsid w:val="00EC5DD3"/>
    <w:rsid w:val="00EC7CCE"/>
    <w:rsid w:val="00ED174A"/>
    <w:rsid w:val="00EE4296"/>
    <w:rsid w:val="00EE7EB7"/>
    <w:rsid w:val="00EF4B3C"/>
    <w:rsid w:val="00EF7C0D"/>
    <w:rsid w:val="00F20899"/>
    <w:rsid w:val="00F31172"/>
    <w:rsid w:val="00F43C37"/>
    <w:rsid w:val="00F4553A"/>
    <w:rsid w:val="00F5479F"/>
    <w:rsid w:val="00FC5620"/>
    <w:rsid w:val="00FC6553"/>
    <w:rsid w:val="00FE5FC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14:docId w14:val="0D9FF4FC"/>
  <w15:docId w15:val="{06AB528A-33FE-493D-A0D3-3B78FE3F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B3B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3B3B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B3B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C6553"/>
    <w:pPr>
      <w:ind w:left="720"/>
      <w:contextualSpacing/>
    </w:pPr>
  </w:style>
  <w:style w:type="character" w:customStyle="1" w:styleId="Titre2Car">
    <w:name w:val="Titre 2 Car"/>
    <w:basedOn w:val="Policepardfaut"/>
    <w:link w:val="Titre2"/>
    <w:uiPriority w:val="9"/>
    <w:semiHidden/>
    <w:rsid w:val="003B3BC1"/>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3B3BC1"/>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3B3BC1"/>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3B3BC1"/>
    <w:pPr>
      <w:outlineLvl w:val="9"/>
    </w:pPr>
    <w:rPr>
      <w:lang w:eastAsia="fr-CH"/>
    </w:rPr>
  </w:style>
  <w:style w:type="paragraph" w:styleId="Textedebulles">
    <w:name w:val="Balloon Text"/>
    <w:basedOn w:val="Normal"/>
    <w:link w:val="TextedebullesCar"/>
    <w:uiPriority w:val="99"/>
    <w:semiHidden/>
    <w:unhideWhenUsed/>
    <w:rsid w:val="003B3B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3BC1"/>
    <w:rPr>
      <w:rFonts w:ascii="Tahoma" w:hAnsi="Tahoma" w:cs="Tahoma"/>
      <w:sz w:val="16"/>
      <w:szCs w:val="16"/>
    </w:rPr>
  </w:style>
  <w:style w:type="paragraph" w:styleId="TM1">
    <w:name w:val="toc 1"/>
    <w:basedOn w:val="Normal"/>
    <w:next w:val="Normal"/>
    <w:autoRedefine/>
    <w:uiPriority w:val="39"/>
    <w:unhideWhenUsed/>
    <w:rsid w:val="003B3BC1"/>
    <w:pPr>
      <w:spacing w:after="100"/>
    </w:pPr>
  </w:style>
  <w:style w:type="character" w:styleId="Lienhypertexte">
    <w:name w:val="Hyperlink"/>
    <w:basedOn w:val="Policepardfaut"/>
    <w:uiPriority w:val="99"/>
    <w:unhideWhenUsed/>
    <w:rsid w:val="003B3BC1"/>
    <w:rPr>
      <w:color w:val="0000FF" w:themeColor="hyperlink"/>
      <w:u w:val="single"/>
    </w:rPr>
  </w:style>
  <w:style w:type="paragraph" w:customStyle="1" w:styleId="Conditionsachats">
    <w:name w:val="Conditions achats"/>
    <w:basedOn w:val="Paragraphedeliste"/>
    <w:link w:val="ConditionsachatsCar"/>
    <w:qFormat/>
    <w:rsid w:val="003B3BC1"/>
    <w:pPr>
      <w:numPr>
        <w:numId w:val="1"/>
      </w:numPr>
      <w:jc w:val="both"/>
    </w:pPr>
    <w:rPr>
      <w:b/>
    </w:rPr>
  </w:style>
  <w:style w:type="paragraph" w:styleId="En-tte">
    <w:name w:val="header"/>
    <w:basedOn w:val="Normal"/>
    <w:link w:val="En-tteCar"/>
    <w:uiPriority w:val="99"/>
    <w:unhideWhenUsed/>
    <w:rsid w:val="003B3BC1"/>
    <w:pPr>
      <w:tabs>
        <w:tab w:val="center" w:pos="4536"/>
        <w:tab w:val="right" w:pos="9072"/>
      </w:tabs>
      <w:spacing w:after="0" w:line="240" w:lineRule="auto"/>
    </w:pPr>
  </w:style>
  <w:style w:type="character" w:customStyle="1" w:styleId="ParagraphedelisteCar">
    <w:name w:val="Paragraphe de liste Car"/>
    <w:basedOn w:val="Policepardfaut"/>
    <w:link w:val="Paragraphedeliste"/>
    <w:uiPriority w:val="34"/>
    <w:rsid w:val="003B3BC1"/>
  </w:style>
  <w:style w:type="character" w:customStyle="1" w:styleId="ConditionsachatsCar">
    <w:name w:val="Conditions achats Car"/>
    <w:basedOn w:val="ParagraphedelisteCar"/>
    <w:link w:val="Conditionsachats"/>
    <w:rsid w:val="003B3BC1"/>
    <w:rPr>
      <w:b/>
    </w:rPr>
  </w:style>
  <w:style w:type="character" w:customStyle="1" w:styleId="En-tteCar">
    <w:name w:val="En-tête Car"/>
    <w:basedOn w:val="Policepardfaut"/>
    <w:link w:val="En-tte"/>
    <w:uiPriority w:val="99"/>
    <w:rsid w:val="003B3BC1"/>
  </w:style>
  <w:style w:type="paragraph" w:styleId="Pieddepage">
    <w:name w:val="footer"/>
    <w:basedOn w:val="Normal"/>
    <w:link w:val="PieddepageCar"/>
    <w:uiPriority w:val="99"/>
    <w:unhideWhenUsed/>
    <w:rsid w:val="003B3B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3BC1"/>
  </w:style>
  <w:style w:type="paragraph" w:styleId="Rvision">
    <w:name w:val="Revision"/>
    <w:hidden/>
    <w:uiPriority w:val="99"/>
    <w:semiHidden/>
    <w:rsid w:val="00A1074A"/>
    <w:pPr>
      <w:spacing w:after="0" w:line="240" w:lineRule="auto"/>
    </w:pPr>
  </w:style>
  <w:style w:type="paragraph" w:styleId="Sansinterligne">
    <w:name w:val="No Spacing"/>
    <w:uiPriority w:val="1"/>
    <w:qFormat/>
    <w:rsid w:val="00482758"/>
    <w:pPr>
      <w:spacing w:after="0" w:line="240" w:lineRule="auto"/>
    </w:pPr>
  </w:style>
  <w:style w:type="character" w:styleId="Marquedecommentaire">
    <w:name w:val="annotation reference"/>
    <w:basedOn w:val="Policepardfaut"/>
    <w:uiPriority w:val="99"/>
    <w:semiHidden/>
    <w:unhideWhenUsed/>
    <w:rsid w:val="00F43C37"/>
    <w:rPr>
      <w:sz w:val="16"/>
      <w:szCs w:val="16"/>
    </w:rPr>
  </w:style>
  <w:style w:type="paragraph" w:styleId="Commentaire">
    <w:name w:val="annotation text"/>
    <w:basedOn w:val="Normal"/>
    <w:link w:val="CommentaireCar"/>
    <w:uiPriority w:val="99"/>
    <w:semiHidden/>
    <w:unhideWhenUsed/>
    <w:rsid w:val="00F43C37"/>
    <w:pPr>
      <w:spacing w:line="240" w:lineRule="auto"/>
    </w:pPr>
    <w:rPr>
      <w:sz w:val="20"/>
      <w:szCs w:val="20"/>
    </w:rPr>
  </w:style>
  <w:style w:type="character" w:customStyle="1" w:styleId="CommentaireCar">
    <w:name w:val="Commentaire Car"/>
    <w:basedOn w:val="Policepardfaut"/>
    <w:link w:val="Commentaire"/>
    <w:uiPriority w:val="99"/>
    <w:semiHidden/>
    <w:rsid w:val="00F43C37"/>
    <w:rPr>
      <w:sz w:val="20"/>
      <w:szCs w:val="20"/>
    </w:rPr>
  </w:style>
  <w:style w:type="paragraph" w:styleId="Objetducommentaire">
    <w:name w:val="annotation subject"/>
    <w:basedOn w:val="Commentaire"/>
    <w:next w:val="Commentaire"/>
    <w:link w:val="ObjetducommentaireCar"/>
    <w:uiPriority w:val="99"/>
    <w:semiHidden/>
    <w:unhideWhenUsed/>
    <w:rsid w:val="00F43C37"/>
    <w:rPr>
      <w:b/>
      <w:bCs/>
    </w:rPr>
  </w:style>
  <w:style w:type="character" w:customStyle="1" w:styleId="ObjetducommentaireCar">
    <w:name w:val="Objet du commentaire Car"/>
    <w:basedOn w:val="CommentaireCar"/>
    <w:link w:val="Objetducommentaire"/>
    <w:uiPriority w:val="99"/>
    <w:semiHidden/>
    <w:rsid w:val="00F43C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B4B90-3D77-481A-81F9-DD365DD4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3362</Words>
  <Characters>18494</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Interprox s.a.</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Bourquin</dc:creator>
  <cp:lastModifiedBy>KNAKE Julien</cp:lastModifiedBy>
  <cp:revision>8</cp:revision>
  <cp:lastPrinted>2018-07-16T13:35:00Z</cp:lastPrinted>
  <dcterms:created xsi:type="dcterms:W3CDTF">2021-11-26T06:48:00Z</dcterms:created>
  <dcterms:modified xsi:type="dcterms:W3CDTF">2022-02-17T09:32:00Z</dcterms:modified>
</cp:coreProperties>
</file>