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FDF5" w14:textId="77777777" w:rsidR="00D741B9" w:rsidRPr="00D741B9" w:rsidRDefault="00D741B9" w:rsidP="00D741B9">
      <w:pPr>
        <w:shd w:val="clear" w:color="auto" w:fill="FFFFFF"/>
        <w:spacing w:before="100" w:beforeAutospacing="1" w:after="336" w:line="240" w:lineRule="auto"/>
        <w:rPr>
          <w:rFonts w:ascii="Helvetica Neue" w:eastAsia="Times New Roman" w:hAnsi="Helvetica Neue" w:cs="Times New Roman"/>
          <w:color w:val="000000"/>
          <w:sz w:val="24"/>
          <w:szCs w:val="24"/>
          <w:lang w:val="en-GB" w:eastAsia="nb-NO"/>
        </w:rPr>
      </w:pPr>
      <w:r w:rsidRPr="00D741B9">
        <w:rPr>
          <w:rFonts w:ascii="Helvetica Neue" w:eastAsia="Times New Roman" w:hAnsi="Helvetica Neue" w:cs="Times New Roman"/>
          <w:color w:val="000000"/>
          <w:sz w:val="24"/>
          <w:szCs w:val="24"/>
          <w:lang w:val="en-GB" w:eastAsia="nb-NO"/>
        </w:rPr>
        <w:t xml:space="preserve">The 22 July Centre is a learning centre that works with the mediation of memory and knowledge about the terror attacks in Oslo and on </w:t>
      </w:r>
      <w:proofErr w:type="spellStart"/>
      <w:r w:rsidRPr="00D741B9">
        <w:rPr>
          <w:rFonts w:ascii="Helvetica Neue" w:eastAsia="Times New Roman" w:hAnsi="Helvetica Neue" w:cs="Times New Roman"/>
          <w:color w:val="000000"/>
          <w:sz w:val="24"/>
          <w:szCs w:val="24"/>
          <w:lang w:val="en-GB" w:eastAsia="nb-NO"/>
        </w:rPr>
        <w:t>Utøya</w:t>
      </w:r>
      <w:proofErr w:type="spellEnd"/>
      <w:r w:rsidRPr="00D741B9">
        <w:rPr>
          <w:rFonts w:ascii="Helvetica Neue" w:eastAsia="Times New Roman" w:hAnsi="Helvetica Neue" w:cs="Times New Roman"/>
          <w:color w:val="000000"/>
          <w:sz w:val="24"/>
          <w:szCs w:val="24"/>
          <w:lang w:val="en-GB" w:eastAsia="nb-NO"/>
        </w:rPr>
        <w:t xml:space="preserve"> on the 22nd of July 2011.</w:t>
      </w:r>
    </w:p>
    <w:p w14:paraId="1F3065EA" w14:textId="77777777" w:rsidR="006F0FDC" w:rsidRDefault="00D741B9" w:rsidP="006F0FDC">
      <w:pPr>
        <w:shd w:val="clear" w:color="auto" w:fill="FFFFFF"/>
        <w:spacing w:before="100" w:beforeAutospacing="1" w:after="336" w:line="240" w:lineRule="auto"/>
        <w:rPr>
          <w:rFonts w:ascii="Helvetica Neue" w:eastAsia="Times New Roman" w:hAnsi="Helvetica Neue" w:cs="Times New Roman"/>
          <w:color w:val="000000"/>
          <w:sz w:val="24"/>
          <w:szCs w:val="24"/>
          <w:lang w:val="en-GB" w:eastAsia="nb-NO"/>
        </w:rPr>
      </w:pPr>
      <w:r w:rsidRPr="00D741B9">
        <w:rPr>
          <w:rFonts w:ascii="Helvetica Neue" w:eastAsia="Times New Roman" w:hAnsi="Helvetica Neue" w:cs="Times New Roman"/>
          <w:color w:val="000000"/>
          <w:sz w:val="24"/>
          <w:szCs w:val="24"/>
          <w:lang w:val="en-GB" w:eastAsia="nb-NO"/>
        </w:rPr>
        <w:t xml:space="preserve">The 22 July Centre is located at </w:t>
      </w:r>
      <w:proofErr w:type="spellStart"/>
      <w:r w:rsidRPr="00D741B9">
        <w:rPr>
          <w:rFonts w:ascii="Helvetica Neue" w:eastAsia="Times New Roman" w:hAnsi="Helvetica Neue" w:cs="Times New Roman"/>
          <w:color w:val="000000"/>
          <w:sz w:val="24"/>
          <w:szCs w:val="24"/>
          <w:lang w:val="en-GB" w:eastAsia="nb-NO"/>
        </w:rPr>
        <w:t>Teatergata</w:t>
      </w:r>
      <w:proofErr w:type="spellEnd"/>
      <w:r w:rsidRPr="00D741B9">
        <w:rPr>
          <w:rFonts w:ascii="Helvetica Neue" w:eastAsia="Times New Roman" w:hAnsi="Helvetica Neue" w:cs="Times New Roman"/>
          <w:color w:val="000000"/>
          <w:sz w:val="24"/>
          <w:szCs w:val="24"/>
          <w:lang w:val="en-GB" w:eastAsia="nb-NO"/>
        </w:rPr>
        <w:t xml:space="preserve"> 10, in the Government building complex in central Oslo. The permanent exhibition is titled </w:t>
      </w:r>
      <w:r w:rsidRPr="00D741B9">
        <w:rPr>
          <w:rFonts w:ascii="Helvetica Neue" w:eastAsia="Times New Roman" w:hAnsi="Helvetica Neue" w:cs="Times New Roman"/>
          <w:i/>
          <w:iCs/>
          <w:color w:val="000000"/>
          <w:sz w:val="24"/>
          <w:szCs w:val="24"/>
          <w:lang w:val="en-GB" w:eastAsia="nb-NO"/>
        </w:rPr>
        <w:t>The Public Conversation About 22 July</w:t>
      </w:r>
      <w:r w:rsidRPr="00D741B9">
        <w:rPr>
          <w:rFonts w:ascii="Helvetica Neue" w:eastAsia="Times New Roman" w:hAnsi="Helvetica Neue" w:cs="Times New Roman"/>
          <w:color w:val="000000"/>
          <w:sz w:val="24"/>
          <w:szCs w:val="24"/>
          <w:lang w:val="en-GB" w:eastAsia="nb-NO"/>
        </w:rPr>
        <w:t xml:space="preserve">. The permanent exhibition contains a timeline of the terror attack that took place on 22 July 2011, as well as seven narratives about 22 July. With these narratives we aim to broaden the conversation about 22 July today and in the years to follow. The centre was opened on 22 July 2015, in the High-rise building, and is temporarily moved to </w:t>
      </w:r>
      <w:proofErr w:type="spellStart"/>
      <w:r w:rsidRPr="00D741B9">
        <w:rPr>
          <w:rFonts w:ascii="Helvetica Neue" w:eastAsia="Times New Roman" w:hAnsi="Helvetica Neue" w:cs="Times New Roman"/>
          <w:color w:val="000000"/>
          <w:sz w:val="24"/>
          <w:szCs w:val="24"/>
          <w:lang w:val="en-GB" w:eastAsia="nb-NO"/>
        </w:rPr>
        <w:t>Teatergata</w:t>
      </w:r>
      <w:proofErr w:type="spellEnd"/>
      <w:r w:rsidRPr="00D741B9">
        <w:rPr>
          <w:rFonts w:ascii="Helvetica Neue" w:eastAsia="Times New Roman" w:hAnsi="Helvetica Neue" w:cs="Times New Roman"/>
          <w:color w:val="000000"/>
          <w:sz w:val="24"/>
          <w:szCs w:val="24"/>
          <w:lang w:val="en-GB" w:eastAsia="nb-NO"/>
        </w:rPr>
        <w:t xml:space="preserve"> 10 due to renovation work in the </w:t>
      </w:r>
      <w:proofErr w:type="spellStart"/>
      <w:r w:rsidRPr="00D741B9">
        <w:rPr>
          <w:rFonts w:ascii="Helvetica Neue" w:eastAsia="Times New Roman" w:hAnsi="Helvetica Neue" w:cs="Times New Roman"/>
          <w:color w:val="000000"/>
          <w:sz w:val="24"/>
          <w:szCs w:val="24"/>
          <w:lang w:val="en-GB" w:eastAsia="nb-NO"/>
        </w:rPr>
        <w:t>Governemnt</w:t>
      </w:r>
      <w:proofErr w:type="spellEnd"/>
      <w:r w:rsidRPr="00D741B9">
        <w:rPr>
          <w:rFonts w:ascii="Helvetica Neue" w:eastAsia="Times New Roman" w:hAnsi="Helvetica Neue" w:cs="Times New Roman"/>
          <w:color w:val="000000"/>
          <w:sz w:val="24"/>
          <w:szCs w:val="24"/>
          <w:lang w:val="en-GB" w:eastAsia="nb-NO"/>
        </w:rPr>
        <w:t xml:space="preserve"> building complex.</w:t>
      </w:r>
    </w:p>
    <w:p w14:paraId="28571FC4" w14:textId="6BA4752E" w:rsidR="006F0FDC" w:rsidRPr="006F0FDC" w:rsidRDefault="006F0FDC" w:rsidP="006F0FDC">
      <w:pPr>
        <w:shd w:val="clear" w:color="auto" w:fill="FFFFFF"/>
        <w:spacing w:before="100" w:beforeAutospacing="1" w:after="336" w:line="240" w:lineRule="auto"/>
        <w:rPr>
          <w:rFonts w:ascii="Helvetica Neue" w:eastAsia="Times New Roman" w:hAnsi="Helvetica Neue" w:cs="Times New Roman"/>
          <w:color w:val="000000"/>
          <w:sz w:val="24"/>
          <w:szCs w:val="24"/>
          <w:lang w:val="en-GB" w:eastAsia="nb-NO"/>
        </w:rPr>
      </w:pPr>
      <w:r w:rsidRPr="006F0FDC">
        <w:rPr>
          <w:rFonts w:ascii="Helvetica Neue" w:hAnsi="Helvetica Neue"/>
          <w:color w:val="000000"/>
          <w:lang w:val="en-GB"/>
        </w:rPr>
        <w:t>The 22 July Centre is located about 200 metres from The High-Rise Building, one of the two sites of the terror attacks on the 22</w:t>
      </w:r>
      <w:r w:rsidRPr="006F0FDC">
        <w:rPr>
          <w:rFonts w:ascii="Helvetica Neue" w:hAnsi="Helvetica Neue"/>
          <w:color w:val="000000"/>
          <w:sz w:val="19"/>
          <w:szCs w:val="19"/>
          <w:vertAlign w:val="superscript"/>
          <w:lang w:val="en-GB"/>
        </w:rPr>
        <w:t>nd</w:t>
      </w:r>
      <w:r w:rsidRPr="006F0FDC">
        <w:rPr>
          <w:rFonts w:ascii="Helvetica Neue" w:hAnsi="Helvetica Neue"/>
          <w:color w:val="000000"/>
          <w:lang w:val="en-GB"/>
        </w:rPr>
        <w:t> of July 2011. The High-Rise Building bears clear traces of the car bomb explosion, and no renovation work has been commenced before now.</w:t>
      </w:r>
    </w:p>
    <w:p w14:paraId="316A7D8B" w14:textId="2751988B" w:rsidR="006F0FDC" w:rsidRDefault="006F0FDC" w:rsidP="006F0FDC">
      <w:pPr>
        <w:pStyle w:val="NormalWeb"/>
        <w:pBdr>
          <w:bottom w:val="single" w:sz="12" w:space="1" w:color="auto"/>
        </w:pBdr>
        <w:shd w:val="clear" w:color="auto" w:fill="FFFFFF"/>
        <w:spacing w:after="336" w:afterAutospacing="0"/>
        <w:rPr>
          <w:rFonts w:ascii="Helvetica Neue" w:hAnsi="Helvetica Neue"/>
          <w:color w:val="000000"/>
          <w:lang w:val="en-GB"/>
        </w:rPr>
      </w:pPr>
      <w:r w:rsidRPr="006F0FDC">
        <w:rPr>
          <w:rFonts w:ascii="Helvetica Neue" w:hAnsi="Helvetica Neue"/>
          <w:color w:val="000000"/>
          <w:lang w:val="en-GB"/>
        </w:rPr>
        <w:t xml:space="preserve">Due to the renovation, the centre in temporarily moved to </w:t>
      </w:r>
      <w:proofErr w:type="spellStart"/>
      <w:r w:rsidRPr="006F0FDC">
        <w:rPr>
          <w:rFonts w:ascii="Helvetica Neue" w:hAnsi="Helvetica Neue"/>
          <w:color w:val="000000"/>
          <w:lang w:val="en-GB"/>
        </w:rPr>
        <w:t>Teatergata</w:t>
      </w:r>
      <w:proofErr w:type="spellEnd"/>
      <w:r w:rsidRPr="006F0FDC">
        <w:rPr>
          <w:rFonts w:ascii="Helvetica Neue" w:hAnsi="Helvetica Neue"/>
          <w:color w:val="000000"/>
          <w:lang w:val="en-GB"/>
        </w:rPr>
        <w:t xml:space="preserve"> 10. This is still within the Government Building Complex, but nothing happened exactly there on 22 July 2011. </w:t>
      </w:r>
      <w:r>
        <w:rPr>
          <w:rFonts w:ascii="Helvetica Neue" w:hAnsi="Helvetica Neue"/>
          <w:color w:val="000000"/>
          <w:lang w:val="en-GB"/>
        </w:rPr>
        <w:t>The Centre is</w:t>
      </w:r>
      <w:r w:rsidRPr="006F0FDC">
        <w:rPr>
          <w:rFonts w:ascii="Helvetica Neue" w:hAnsi="Helvetica Neue"/>
          <w:color w:val="000000"/>
          <w:lang w:val="en-GB"/>
        </w:rPr>
        <w:t xml:space="preserve">, however, located in between where the terror attack began 22 July, and the Oslo </w:t>
      </w:r>
      <w:r>
        <w:rPr>
          <w:rFonts w:ascii="Helvetica Neue" w:hAnsi="Helvetica Neue"/>
          <w:color w:val="000000"/>
          <w:lang w:val="en-GB"/>
        </w:rPr>
        <w:t>C</w:t>
      </w:r>
      <w:r w:rsidRPr="006F0FDC">
        <w:rPr>
          <w:rFonts w:ascii="Helvetica Neue" w:hAnsi="Helvetica Neue"/>
          <w:color w:val="000000"/>
          <w:lang w:val="en-GB"/>
        </w:rPr>
        <w:t xml:space="preserve">ourt </w:t>
      </w:r>
      <w:r>
        <w:rPr>
          <w:rFonts w:ascii="Helvetica Neue" w:hAnsi="Helvetica Neue"/>
          <w:color w:val="000000"/>
          <w:lang w:val="en-GB"/>
        </w:rPr>
        <w:t>H</w:t>
      </w:r>
      <w:r w:rsidRPr="006F0FDC">
        <w:rPr>
          <w:rFonts w:ascii="Helvetica Neue" w:hAnsi="Helvetica Neue"/>
          <w:color w:val="000000"/>
          <w:lang w:val="en-GB"/>
        </w:rPr>
        <w:t>ouse where the trial against the terrorist took place in 2012.</w:t>
      </w:r>
    </w:p>
    <w:p w14:paraId="0055CA17" w14:textId="77777777" w:rsidR="00344919" w:rsidRDefault="00344919" w:rsidP="006F0FDC">
      <w:pPr>
        <w:pStyle w:val="NormalWeb"/>
        <w:pBdr>
          <w:bottom w:val="single" w:sz="12" w:space="1" w:color="auto"/>
        </w:pBdr>
        <w:shd w:val="clear" w:color="auto" w:fill="FFFFFF"/>
        <w:spacing w:after="336" w:afterAutospacing="0"/>
        <w:rPr>
          <w:rFonts w:ascii="Helvetica Neue" w:hAnsi="Helvetica Neue"/>
          <w:color w:val="000000"/>
          <w:lang w:val="en-GB"/>
        </w:rPr>
      </w:pPr>
    </w:p>
    <w:p w14:paraId="3D560FA2" w14:textId="77777777" w:rsidR="00344919" w:rsidRPr="00344919" w:rsidRDefault="00344919" w:rsidP="00344919">
      <w:pPr>
        <w:pStyle w:val="NormalWeb"/>
        <w:shd w:val="clear" w:color="auto" w:fill="FFFFFF"/>
        <w:spacing w:after="336"/>
        <w:rPr>
          <w:rFonts w:ascii="Helvetica Neue" w:hAnsi="Helvetica Neue"/>
          <w:color w:val="000000"/>
        </w:rPr>
      </w:pPr>
      <w:r w:rsidRPr="00344919">
        <w:rPr>
          <w:rFonts w:ascii="Helvetica Neue" w:hAnsi="Helvetica Neue"/>
          <w:color w:val="000000"/>
        </w:rPr>
        <w:t>22. juli-senteret skal formidle kunnskap om terrorangrepet i Regjeringskvartalet og på Utøya 22. juli 2011. Gjennom utstillinger, undervisning og dokumentasjon, vil 22. juli-senteret bidra til en historiebevisst forvaltning av minnet om terrorangrepet, for skoleverket og allmennheten. Senteret skal tilrettelegge for diskusjon og refleksjon om 22. juli 2011 og beslektet tematikk, i lys av historiske og samtidige, nasjonale og globale spørsmål. Gjennom undervisning som vektlegger elevmedvirkning, skal 22. juli-senteret bidra til å styrke elevers demokratiske ferdigheter og historiebevissthet, og bidra til at kunnskap om, årsaker til og konsekvenser av 22. juli 2011 formidles til nye generasjoner.</w:t>
      </w:r>
    </w:p>
    <w:p w14:paraId="29A29677" w14:textId="77777777" w:rsidR="00344919" w:rsidRPr="00344919" w:rsidRDefault="00344919" w:rsidP="00344919">
      <w:pPr>
        <w:pStyle w:val="NormalWeb"/>
        <w:shd w:val="clear" w:color="auto" w:fill="FFFFFF"/>
        <w:spacing w:after="336"/>
        <w:rPr>
          <w:rFonts w:ascii="Helvetica Neue" w:hAnsi="Helvetica Neue"/>
          <w:color w:val="000000"/>
        </w:rPr>
      </w:pPr>
      <w:r w:rsidRPr="00344919">
        <w:rPr>
          <w:rFonts w:ascii="Helvetica Neue" w:hAnsi="Helvetica Neue"/>
          <w:color w:val="000000"/>
        </w:rPr>
        <w:t>22. juli-senteret ble etablert av Kommunal- og moderniseringsdepartementet i 2015, og var underlagt Departementenes sikkerhets- og serviceorganisasjon. Fra 1. juli 2019 er 22. juli-senteret underlagt Kunnskapsdepartementet.</w:t>
      </w:r>
    </w:p>
    <w:p w14:paraId="5D731A30" w14:textId="77777777" w:rsidR="00344919" w:rsidRPr="00344919" w:rsidRDefault="00344919" w:rsidP="00344919">
      <w:pPr>
        <w:pStyle w:val="NormalWeb"/>
        <w:shd w:val="clear" w:color="auto" w:fill="FFFFFF"/>
        <w:spacing w:after="336"/>
        <w:rPr>
          <w:rFonts w:ascii="Helvetica Neue" w:hAnsi="Helvetica Neue"/>
          <w:color w:val="000000"/>
        </w:rPr>
      </w:pPr>
      <w:r w:rsidRPr="00344919">
        <w:rPr>
          <w:rFonts w:ascii="Helvetica Neue" w:hAnsi="Helvetica Neue"/>
          <w:color w:val="000000"/>
        </w:rPr>
        <w:t>22. juli-senteret åpnet dørene for publikum 22. juli 2015, fire år etter terrorangrepet i 2011. Senterets undervisningsprofil har blitt betydelig styrket i løpet av de fem årene som har gått og i dag er senteret et læringssenter med et tydelig samfunnsoppdrag.</w:t>
      </w:r>
    </w:p>
    <w:p w14:paraId="23C07DCE" w14:textId="77777777" w:rsidR="00344919" w:rsidRPr="00344919" w:rsidRDefault="00344919" w:rsidP="00344919">
      <w:pPr>
        <w:pStyle w:val="NormalWeb"/>
        <w:shd w:val="clear" w:color="auto" w:fill="FFFFFF"/>
        <w:spacing w:after="336"/>
        <w:rPr>
          <w:rFonts w:ascii="Helvetica Neue" w:hAnsi="Helvetica Neue"/>
          <w:color w:val="000000"/>
        </w:rPr>
      </w:pPr>
      <w:r w:rsidRPr="00344919">
        <w:rPr>
          <w:rFonts w:ascii="Helvetica Neue" w:hAnsi="Helvetica Neue"/>
          <w:color w:val="000000"/>
        </w:rPr>
        <w:t>På grunn av rehabiliteringen av Høyblokka måtte 22. juli-senteret stenge dørene for besøkende i Høyblokka 15. desember 2019. 27. juni 2020 åpnet 22. juli-senteret i midlertidige lokaler i Teatergata 10, i hjørnebygget vis-à-vis Helse- og omsorgsdepartementet. Bygget er en del av det større regjeringskvartalet, og et steinkast unna åstedet.</w:t>
      </w:r>
    </w:p>
    <w:p w14:paraId="2AA6FD90" w14:textId="77777777" w:rsidR="00344919" w:rsidRPr="00344919" w:rsidRDefault="00344919" w:rsidP="00344919">
      <w:pPr>
        <w:pStyle w:val="NormalWeb"/>
        <w:shd w:val="clear" w:color="auto" w:fill="FFFFFF"/>
        <w:spacing w:after="336"/>
        <w:rPr>
          <w:rFonts w:ascii="Helvetica Neue" w:hAnsi="Helvetica Neue"/>
          <w:color w:val="000000"/>
        </w:rPr>
      </w:pPr>
    </w:p>
    <w:p w14:paraId="26CBF39F" w14:textId="77777777" w:rsidR="00344919" w:rsidRPr="00344919" w:rsidRDefault="00344919" w:rsidP="006F0FDC">
      <w:pPr>
        <w:pStyle w:val="NormalWeb"/>
        <w:shd w:val="clear" w:color="auto" w:fill="FFFFFF"/>
        <w:spacing w:after="336" w:afterAutospacing="0"/>
        <w:rPr>
          <w:rFonts w:ascii="Helvetica Neue" w:hAnsi="Helvetica Neue"/>
          <w:color w:val="000000"/>
        </w:rPr>
      </w:pPr>
    </w:p>
    <w:p w14:paraId="1261F550" w14:textId="77777777" w:rsidR="00FC5425" w:rsidRPr="00344919" w:rsidRDefault="00FC5425" w:rsidP="00D36E44">
      <w:pPr>
        <w:spacing w:before="100" w:beforeAutospacing="1" w:after="100" w:afterAutospacing="1" w:line="240" w:lineRule="auto"/>
        <w:rPr>
          <w:rFonts w:ascii="Times New Roman" w:eastAsia="Times New Roman" w:hAnsi="Times New Roman" w:cs="Times New Roman"/>
          <w:color w:val="auto"/>
          <w:sz w:val="24"/>
          <w:szCs w:val="24"/>
          <w:lang w:eastAsia="nb-NO"/>
        </w:rPr>
      </w:pPr>
    </w:p>
    <w:p w14:paraId="32D1A235" w14:textId="77777777" w:rsidR="00D36E44" w:rsidRPr="00344919" w:rsidRDefault="00D36E44" w:rsidP="00D36E44"/>
    <w:sectPr w:rsidR="00D36E44" w:rsidRPr="003449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FDBC" w14:textId="77777777" w:rsidR="008F106E" w:rsidRDefault="008F106E" w:rsidP="009B113F">
      <w:pPr>
        <w:spacing w:line="240" w:lineRule="auto"/>
      </w:pPr>
      <w:r>
        <w:separator/>
      </w:r>
    </w:p>
  </w:endnote>
  <w:endnote w:type="continuationSeparator" w:id="0">
    <w:p w14:paraId="6119195B" w14:textId="77777777" w:rsidR="008F106E" w:rsidRDefault="008F106E"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403000000020004"/>
    <w:charset w:val="00"/>
    <w:family w:val="auto"/>
    <w:pitch w:val="variable"/>
    <w:sig w:usb0="A00002FF" w:usb1="5000205B" w:usb2="00000002"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8B6A9" w14:textId="77777777" w:rsidR="008F106E" w:rsidRDefault="008F106E" w:rsidP="009B113F">
      <w:pPr>
        <w:spacing w:line="240" w:lineRule="auto"/>
      </w:pPr>
      <w:r>
        <w:separator/>
      </w:r>
    </w:p>
  </w:footnote>
  <w:footnote w:type="continuationSeparator" w:id="0">
    <w:p w14:paraId="223365AE" w14:textId="77777777" w:rsidR="008F106E" w:rsidRDefault="008F106E" w:rsidP="009B11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44"/>
    <w:rsid w:val="00080BFD"/>
    <w:rsid w:val="001D6512"/>
    <w:rsid w:val="00247C16"/>
    <w:rsid w:val="0028070C"/>
    <w:rsid w:val="00344919"/>
    <w:rsid w:val="00604331"/>
    <w:rsid w:val="006F0FDC"/>
    <w:rsid w:val="008F106E"/>
    <w:rsid w:val="009B113F"/>
    <w:rsid w:val="00A91875"/>
    <w:rsid w:val="00B24048"/>
    <w:rsid w:val="00B60103"/>
    <w:rsid w:val="00D36E44"/>
    <w:rsid w:val="00D741B9"/>
    <w:rsid w:val="00D875E8"/>
    <w:rsid w:val="00EE12D9"/>
    <w:rsid w:val="00FC54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3AF8A"/>
  <w15:chartTrackingRefBased/>
  <w15:docId w15:val="{6B637A76-A13C-48FE-81A5-8D62F9B1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paragraph" w:styleId="NormalWeb">
    <w:name w:val="Normal (Web)"/>
    <w:basedOn w:val="Normal"/>
    <w:uiPriority w:val="99"/>
    <w:semiHidden/>
    <w:unhideWhenUsed/>
    <w:rsid w:val="00D36E44"/>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Hyperkobling">
    <w:name w:val="Hyperlink"/>
    <w:basedOn w:val="Standardskriftforavsnitt"/>
    <w:uiPriority w:val="99"/>
    <w:semiHidden/>
    <w:unhideWhenUsed/>
    <w:rsid w:val="00D36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84460">
      <w:bodyDiv w:val="1"/>
      <w:marLeft w:val="0"/>
      <w:marRight w:val="0"/>
      <w:marTop w:val="0"/>
      <w:marBottom w:val="0"/>
      <w:divBdr>
        <w:top w:val="none" w:sz="0" w:space="0" w:color="auto"/>
        <w:left w:val="none" w:sz="0" w:space="0" w:color="auto"/>
        <w:bottom w:val="none" w:sz="0" w:space="0" w:color="auto"/>
        <w:right w:val="none" w:sz="0" w:space="0" w:color="auto"/>
      </w:divBdr>
    </w:div>
    <w:div w:id="985743264">
      <w:bodyDiv w:val="1"/>
      <w:marLeft w:val="0"/>
      <w:marRight w:val="0"/>
      <w:marTop w:val="0"/>
      <w:marBottom w:val="0"/>
      <w:divBdr>
        <w:top w:val="none" w:sz="0" w:space="0" w:color="auto"/>
        <w:left w:val="none" w:sz="0" w:space="0" w:color="auto"/>
        <w:bottom w:val="none" w:sz="0" w:space="0" w:color="auto"/>
        <w:right w:val="none" w:sz="0" w:space="0" w:color="auto"/>
      </w:divBdr>
    </w:div>
    <w:div w:id="1058407233">
      <w:bodyDiv w:val="1"/>
      <w:marLeft w:val="0"/>
      <w:marRight w:val="0"/>
      <w:marTop w:val="0"/>
      <w:marBottom w:val="0"/>
      <w:divBdr>
        <w:top w:val="none" w:sz="0" w:space="0" w:color="auto"/>
        <w:left w:val="none" w:sz="0" w:space="0" w:color="auto"/>
        <w:bottom w:val="none" w:sz="0" w:space="0" w:color="auto"/>
        <w:right w:val="none" w:sz="0" w:space="0" w:color="auto"/>
      </w:divBdr>
    </w:div>
    <w:div w:id="1405761121">
      <w:bodyDiv w:val="1"/>
      <w:marLeft w:val="0"/>
      <w:marRight w:val="0"/>
      <w:marTop w:val="0"/>
      <w:marBottom w:val="0"/>
      <w:divBdr>
        <w:top w:val="none" w:sz="0" w:space="0" w:color="auto"/>
        <w:left w:val="none" w:sz="0" w:space="0" w:color="auto"/>
        <w:bottom w:val="none" w:sz="0" w:space="0" w:color="auto"/>
        <w:right w:val="none" w:sz="0" w:space="0" w:color="auto"/>
      </w:divBdr>
    </w:div>
    <w:div w:id="1470245935">
      <w:bodyDiv w:val="1"/>
      <w:marLeft w:val="0"/>
      <w:marRight w:val="0"/>
      <w:marTop w:val="0"/>
      <w:marBottom w:val="0"/>
      <w:divBdr>
        <w:top w:val="none" w:sz="0" w:space="0" w:color="auto"/>
        <w:left w:val="none" w:sz="0" w:space="0" w:color="auto"/>
        <w:bottom w:val="none" w:sz="0" w:space="0" w:color="auto"/>
        <w:right w:val="none" w:sz="0" w:space="0" w:color="auto"/>
      </w:divBdr>
    </w:div>
    <w:div w:id="207516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2442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Ana Rita De Almeida Araujo</dc:creator>
  <cp:keywords/>
  <dc:description/>
  <cp:lastModifiedBy>Ferreira Ana Rita De Almeida Araujo</cp:lastModifiedBy>
  <cp:revision>2</cp:revision>
  <dcterms:created xsi:type="dcterms:W3CDTF">2022-11-05T17:24:00Z</dcterms:created>
  <dcterms:modified xsi:type="dcterms:W3CDTF">2022-11-05T17:24:00Z</dcterms:modified>
</cp:coreProperties>
</file>