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28208" w14:textId="54BE832D" w:rsidR="00EC2A2A" w:rsidRDefault="00EC2A2A" w:rsidP="005630A5">
      <w:pPr>
        <w:pStyle w:val="APFLogo"/>
      </w:pPr>
    </w:p>
    <w:p w14:paraId="72A31DFB" w14:textId="3CD6257D" w:rsidR="00EC2A2A" w:rsidRDefault="00EC2A2A" w:rsidP="00051876">
      <w:pPr>
        <w:pStyle w:val="APFLogo"/>
        <w:spacing w:after="2760"/>
      </w:pPr>
    </w:p>
    <w:p w14:paraId="11221779" w14:textId="33DABD99" w:rsidR="00EC2A2A" w:rsidRDefault="00031E53" w:rsidP="00051876">
      <w:pPr>
        <w:pStyle w:val="CoverTitle"/>
        <w:spacing w:before="840"/>
      </w:pPr>
      <w:r>
        <w:rPr>
          <w:noProof/>
          <w:lang w:val="en-GB" w:eastAsia="en-GB"/>
        </w:rPr>
        <w:drawing>
          <wp:anchor distT="0" distB="0" distL="114300" distR="114300" simplePos="0" relativeHeight="251671552" behindDoc="0" locked="0" layoutInCell="1" allowOverlap="1" wp14:anchorId="078A070E" wp14:editId="6E9B6D36">
            <wp:simplePos x="0" y="0"/>
            <wp:positionH relativeFrom="column">
              <wp:posOffset>3265170</wp:posOffset>
            </wp:positionH>
            <wp:positionV relativeFrom="paragraph">
              <wp:posOffset>-2940473</wp:posOffset>
            </wp:positionV>
            <wp:extent cx="754380" cy="1497330"/>
            <wp:effectExtent l="0" t="0" r="762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png"/>
                    <pic:cNvPicPr/>
                  </pic:nvPicPr>
                  <pic:blipFill>
                    <a:blip r:embed="rId8">
                      <a:extLst>
                        <a:ext uri="{28A0092B-C50C-407E-A947-70E740481C1C}">
                          <a14:useLocalDpi xmlns:a14="http://schemas.microsoft.com/office/drawing/2010/main" val="0"/>
                        </a:ext>
                      </a:extLst>
                    </a:blip>
                    <a:stretch>
                      <a:fillRect/>
                    </a:stretch>
                  </pic:blipFill>
                  <pic:spPr>
                    <a:xfrm>
                      <a:off x="0" y="0"/>
                      <a:ext cx="754380" cy="14973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1C70">
        <w:rPr>
          <w:noProof/>
          <w:lang w:val="en-GB" w:eastAsia="en-GB"/>
        </w:rPr>
        <w:drawing>
          <wp:anchor distT="0" distB="0" distL="114300" distR="114300" simplePos="0" relativeHeight="251664384" behindDoc="1" locked="1" layoutInCell="0" allowOverlap="0" wp14:anchorId="4FD21462" wp14:editId="79511791">
            <wp:simplePos x="0" y="0"/>
            <wp:positionH relativeFrom="page">
              <wp:posOffset>900430</wp:posOffset>
            </wp:positionH>
            <wp:positionV relativeFrom="page">
              <wp:posOffset>2160270</wp:posOffset>
            </wp:positionV>
            <wp:extent cx="2827020" cy="723900"/>
            <wp:effectExtent l="19050" t="0" r="0"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9" cstate="print"/>
                    <a:srcRect/>
                    <a:stretch>
                      <a:fillRect/>
                    </a:stretch>
                  </pic:blipFill>
                  <pic:spPr bwMode="auto">
                    <a:xfrm>
                      <a:off x="0" y="0"/>
                      <a:ext cx="2827020" cy="723900"/>
                    </a:xfrm>
                    <a:prstGeom prst="rect">
                      <a:avLst/>
                    </a:prstGeom>
                    <a:noFill/>
                  </pic:spPr>
                </pic:pic>
              </a:graphicData>
            </a:graphic>
          </wp:anchor>
        </w:drawing>
      </w:r>
      <w:r w:rsidR="00BF1C70">
        <w:rPr>
          <w:noProof/>
          <w:lang w:val="en-GB" w:eastAsia="en-GB"/>
        </w:rPr>
        <w:drawing>
          <wp:anchor distT="0" distB="0" distL="114300" distR="114300" simplePos="0" relativeHeight="251656192" behindDoc="1" locked="1" layoutInCell="1" allowOverlap="1" wp14:anchorId="3BD6C05A" wp14:editId="389E0035">
            <wp:simplePos x="0" y="0"/>
            <wp:positionH relativeFrom="page">
              <wp:posOffset>51435</wp:posOffset>
            </wp:positionH>
            <wp:positionV relativeFrom="page">
              <wp:posOffset>-13970</wp:posOffset>
            </wp:positionV>
            <wp:extent cx="7562850" cy="10677525"/>
            <wp:effectExtent l="19050" t="0" r="0" b="0"/>
            <wp:wrapNone/>
            <wp:docPr id="2" name="Picture 2" descr="APF logo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F logo extract"/>
                    <pic:cNvPicPr>
                      <a:picLocks noChangeAspect="1" noChangeArrowheads="1"/>
                    </pic:cNvPicPr>
                  </pic:nvPicPr>
                  <pic:blipFill>
                    <a:blip r:embed="rId10" cstate="print"/>
                    <a:srcRect/>
                    <a:stretch>
                      <a:fillRect/>
                    </a:stretch>
                  </pic:blipFill>
                  <pic:spPr bwMode="auto">
                    <a:xfrm>
                      <a:off x="0" y="0"/>
                      <a:ext cx="7562850" cy="10677525"/>
                    </a:xfrm>
                    <a:prstGeom prst="rect">
                      <a:avLst/>
                    </a:prstGeom>
                    <a:noFill/>
                  </pic:spPr>
                </pic:pic>
              </a:graphicData>
            </a:graphic>
          </wp:anchor>
        </w:drawing>
      </w:r>
      <w:r>
        <w:rPr>
          <w:noProof/>
          <w:lang w:val="en-US" w:eastAsia="en-US"/>
        </w:rPr>
        <w:t>Celebrating 10 years of</w:t>
      </w:r>
      <w:r>
        <w:rPr>
          <w:noProof/>
          <w:lang w:val="en-US" w:eastAsia="en-US"/>
        </w:rPr>
        <w:br/>
        <w:t>the Yogyakarta Principles:</w:t>
      </w:r>
      <w:r>
        <w:rPr>
          <w:noProof/>
          <w:lang w:val="en-US" w:eastAsia="en-US"/>
        </w:rPr>
        <w:br/>
        <w:t>What have we learnt</w:t>
      </w:r>
      <w:r>
        <w:rPr>
          <w:noProof/>
          <w:lang w:val="en-US" w:eastAsia="en-US"/>
        </w:rPr>
        <w:br/>
        <w:t>and where to now?</w:t>
      </w:r>
    </w:p>
    <w:p w14:paraId="1DC4F85F" w14:textId="7DCAF1D0" w:rsidR="00031E53" w:rsidRPr="0060553B" w:rsidRDefault="00031E53" w:rsidP="00031E53">
      <w:pPr>
        <w:pStyle w:val="CoverTitle2"/>
      </w:pPr>
      <w:r>
        <w:t>Report of the Conference</w:t>
      </w:r>
      <w:r>
        <w:br/>
        <w:t>Bangkok, 25-26 April 2017</w:t>
      </w:r>
    </w:p>
    <w:p w14:paraId="63EB26D7" w14:textId="77777777" w:rsidR="00EC2A2A" w:rsidRPr="0060553B" w:rsidRDefault="00EC2A2A" w:rsidP="0018493F"/>
    <w:p w14:paraId="794C2050" w14:textId="77777777" w:rsidR="00AD3B45" w:rsidRDefault="00EC2A2A" w:rsidP="005B430B">
      <w:pPr>
        <w:pStyle w:val="Heading1"/>
      </w:pPr>
      <w:r>
        <w:br w:type="page"/>
      </w:r>
      <w:bookmarkStart w:id="0" w:name="_Toc228256196"/>
      <w:bookmarkStart w:id="1" w:name="_Toc278455634"/>
      <w:bookmarkStart w:id="2" w:name="_Toc363737865"/>
      <w:bookmarkStart w:id="3" w:name="_Toc364079834"/>
      <w:bookmarkStart w:id="4" w:name="_Toc364149647"/>
      <w:bookmarkStart w:id="5" w:name="_Toc364149888"/>
      <w:bookmarkStart w:id="6" w:name="_Toc371418180"/>
      <w:bookmarkStart w:id="7" w:name="_Toc371418381"/>
      <w:bookmarkStart w:id="8" w:name="_Toc228256194"/>
    </w:p>
    <w:p w14:paraId="3046DE03" w14:textId="6CD99745" w:rsidR="000F1CD9" w:rsidRPr="00A63ACD" w:rsidRDefault="000F1CD9" w:rsidP="000F1CD9">
      <w:pPr>
        <w:rPr>
          <w:sz w:val="20"/>
          <w:szCs w:val="20"/>
        </w:rPr>
      </w:pPr>
      <w:r w:rsidRPr="00A63ACD">
        <w:rPr>
          <w:sz w:val="20"/>
          <w:szCs w:val="20"/>
        </w:rPr>
        <w:lastRenderedPageBreak/>
        <w:t>The designations employed and the presentation of the material in this publication do not imply the expression of any opinion whatsoever on the part of the APF concerning the legal status of any country, territory, city or area, or of its authorities, or concerning the delimitation of its frontiers or boundaries.</w:t>
      </w:r>
    </w:p>
    <w:p w14:paraId="431F856A" w14:textId="52396771" w:rsidR="000F1CD9" w:rsidRPr="00A63ACD" w:rsidRDefault="00BA479C" w:rsidP="000F1CD9">
      <w:pPr>
        <w:rPr>
          <w:rFonts w:cs="Arial"/>
          <w:i/>
          <w:iCs/>
          <w:sz w:val="20"/>
          <w:szCs w:val="20"/>
        </w:rPr>
      </w:pPr>
      <w:r>
        <w:rPr>
          <w:rFonts w:cs="Arial"/>
          <w:i/>
          <w:iCs/>
          <w:sz w:val="20"/>
          <w:szCs w:val="20"/>
        </w:rPr>
        <w:t>Celebrating 10 years of the Yogyakarta Principles: What have we learnt and where to now?</w:t>
      </w:r>
    </w:p>
    <w:p w14:paraId="2B4DFF0A" w14:textId="1E6B32AE" w:rsidR="000F1CD9" w:rsidRPr="00A63ACD" w:rsidRDefault="000F1CD9" w:rsidP="000F1CD9">
      <w:pPr>
        <w:rPr>
          <w:rFonts w:cs="Arial"/>
          <w:sz w:val="20"/>
          <w:szCs w:val="20"/>
        </w:rPr>
      </w:pPr>
      <w:r w:rsidRPr="00A63ACD">
        <w:rPr>
          <w:rFonts w:cs="Arial"/>
          <w:sz w:val="20"/>
          <w:szCs w:val="20"/>
        </w:rPr>
        <w:t>© Copyright Asia Pacific Forum of National Human Rights Institutions</w:t>
      </w:r>
      <w:r w:rsidR="00BA479C">
        <w:rPr>
          <w:rFonts w:cs="Arial"/>
          <w:sz w:val="20"/>
          <w:szCs w:val="20"/>
        </w:rPr>
        <w:t xml:space="preserve"> and United Nations Development Programme</w:t>
      </w:r>
      <w:r w:rsidR="001A27A0" w:rsidRPr="00A63ACD">
        <w:rPr>
          <w:rFonts w:cs="Arial"/>
          <w:sz w:val="20"/>
          <w:szCs w:val="20"/>
        </w:rPr>
        <w:t xml:space="preserve"> </w:t>
      </w:r>
      <w:r w:rsidR="00BA479C">
        <w:rPr>
          <w:rFonts w:cs="Arial"/>
          <w:sz w:val="20"/>
          <w:szCs w:val="20"/>
        </w:rPr>
        <w:t>August</w:t>
      </w:r>
      <w:r w:rsidR="00901012" w:rsidRPr="00A63ACD">
        <w:rPr>
          <w:rFonts w:cs="Arial"/>
          <w:sz w:val="20"/>
          <w:szCs w:val="20"/>
        </w:rPr>
        <w:t xml:space="preserve"> 2017</w:t>
      </w:r>
    </w:p>
    <w:p w14:paraId="6A3DD9B4" w14:textId="11840718" w:rsidR="000F1CD9" w:rsidRPr="00A63ACD" w:rsidRDefault="002D6F84" w:rsidP="002D6F84">
      <w:pPr>
        <w:rPr>
          <w:rFonts w:cs="Arial"/>
          <w:sz w:val="20"/>
          <w:szCs w:val="20"/>
        </w:rPr>
      </w:pPr>
      <w:r w:rsidRPr="00A63ACD">
        <w:rPr>
          <w:sz w:val="20"/>
          <w:szCs w:val="20"/>
          <w:lang w:val="en-US" w:eastAsia="zh-CN"/>
        </w:rPr>
        <w:t xml:space="preserve">No </w:t>
      </w:r>
      <w:r w:rsidRPr="00A63ACD">
        <w:rPr>
          <w:sz w:val="20"/>
          <w:szCs w:val="20"/>
        </w:rPr>
        <w:t>reproduction</w:t>
      </w:r>
      <w:r w:rsidRPr="00A63ACD">
        <w:rPr>
          <w:sz w:val="20"/>
          <w:szCs w:val="20"/>
          <w:lang w:val="en-US" w:eastAsia="zh-CN"/>
        </w:rPr>
        <w:t xml:space="preserve"> is permitted without prior written consent from the APF</w:t>
      </w:r>
      <w:r w:rsidR="00BA479C">
        <w:rPr>
          <w:sz w:val="20"/>
          <w:szCs w:val="20"/>
          <w:lang w:val="en-US" w:eastAsia="zh-CN"/>
        </w:rPr>
        <w:t xml:space="preserve"> or the UNDP</w:t>
      </w:r>
      <w:r w:rsidR="00E60E8D" w:rsidRPr="00A63ACD">
        <w:rPr>
          <w:sz w:val="20"/>
          <w:szCs w:val="20"/>
          <w:lang w:val="en-US" w:eastAsia="zh-CN"/>
        </w:rPr>
        <w:t>.</w:t>
      </w:r>
    </w:p>
    <w:p w14:paraId="4EAD5F91" w14:textId="5DDC002A" w:rsidR="00AD3B45" w:rsidRPr="00A63ACD" w:rsidRDefault="000F1CD9" w:rsidP="007E1471">
      <w:pPr>
        <w:spacing w:after="120"/>
        <w:rPr>
          <w:sz w:val="20"/>
          <w:szCs w:val="20"/>
        </w:rPr>
      </w:pPr>
      <w:r w:rsidRPr="00A63ACD">
        <w:rPr>
          <w:rFonts w:cs="Arial"/>
          <w:sz w:val="20"/>
          <w:szCs w:val="20"/>
        </w:rPr>
        <w:t>Asia Pacific Forum of National Human Rights Institutions</w:t>
      </w:r>
      <w:r w:rsidRPr="00A63ACD">
        <w:rPr>
          <w:rFonts w:cs="Arial"/>
          <w:sz w:val="20"/>
          <w:szCs w:val="20"/>
        </w:rPr>
        <w:br/>
        <w:t>GPO Box 5218</w:t>
      </w:r>
      <w:r w:rsidRPr="00A63ACD">
        <w:rPr>
          <w:rFonts w:cs="Arial"/>
          <w:sz w:val="20"/>
          <w:szCs w:val="20"/>
        </w:rPr>
        <w:br/>
        <w:t>Sydney NSW 1042</w:t>
      </w:r>
      <w:r w:rsidRPr="00A63ACD">
        <w:rPr>
          <w:rFonts w:cs="Arial"/>
          <w:sz w:val="20"/>
          <w:szCs w:val="20"/>
        </w:rPr>
        <w:br/>
      </w:r>
      <w:r w:rsidRPr="00A63ACD">
        <w:rPr>
          <w:sz w:val="20"/>
          <w:szCs w:val="20"/>
        </w:rPr>
        <w:t>Australia</w:t>
      </w:r>
    </w:p>
    <w:p w14:paraId="559F12F4" w14:textId="70ECCF32" w:rsidR="007E1471" w:rsidRPr="007E1471" w:rsidRDefault="007E1471" w:rsidP="007E1471">
      <w:pPr>
        <w:spacing w:before="120"/>
        <w:rPr>
          <w:sz w:val="20"/>
          <w:szCs w:val="20"/>
        </w:rPr>
      </w:pPr>
      <w:r w:rsidRPr="007E1471">
        <w:rPr>
          <w:sz w:val="20"/>
          <w:szCs w:val="20"/>
        </w:rPr>
        <w:t xml:space="preserve">Email: </w:t>
      </w:r>
      <w:hyperlink r:id="rId11" w:history="1">
        <w:r w:rsidRPr="007E1471">
          <w:rPr>
            <w:rStyle w:val="Hyperlink"/>
            <w:sz w:val="20"/>
            <w:szCs w:val="20"/>
          </w:rPr>
          <w:t>apf@asiapacificforum.net</w:t>
        </w:r>
      </w:hyperlink>
      <w:r w:rsidRPr="007E1471">
        <w:rPr>
          <w:sz w:val="20"/>
          <w:szCs w:val="20"/>
        </w:rPr>
        <w:t xml:space="preserve"> </w:t>
      </w:r>
      <w:r w:rsidRPr="007E1471">
        <w:rPr>
          <w:sz w:val="20"/>
          <w:szCs w:val="20"/>
        </w:rPr>
        <w:br/>
        <w:t xml:space="preserve">Web: </w:t>
      </w:r>
      <w:hyperlink r:id="rId12" w:history="1">
        <w:r w:rsidRPr="007E1471">
          <w:rPr>
            <w:rStyle w:val="Hyperlink"/>
            <w:sz w:val="20"/>
            <w:szCs w:val="20"/>
          </w:rPr>
          <w:t>www.asiapacificforum.net</w:t>
        </w:r>
      </w:hyperlink>
    </w:p>
    <w:p w14:paraId="726C0360" w14:textId="2B3D9BEE" w:rsidR="007E1471" w:rsidRPr="007E1471" w:rsidRDefault="007E1471" w:rsidP="00031E53">
      <w:pPr>
        <w:spacing w:after="120"/>
        <w:rPr>
          <w:sz w:val="20"/>
          <w:szCs w:val="20"/>
        </w:rPr>
      </w:pPr>
      <w:r w:rsidRPr="007E1471">
        <w:rPr>
          <w:sz w:val="20"/>
          <w:szCs w:val="20"/>
        </w:rPr>
        <w:t>United Nations Development Programme</w:t>
      </w:r>
      <w:r w:rsidRPr="007E1471">
        <w:rPr>
          <w:sz w:val="20"/>
          <w:szCs w:val="20"/>
        </w:rPr>
        <w:br/>
        <w:t>Bangkok Regional Hub</w:t>
      </w:r>
      <w:r>
        <w:rPr>
          <w:sz w:val="20"/>
          <w:szCs w:val="20"/>
        </w:rPr>
        <w:br/>
      </w:r>
      <w:r w:rsidRPr="007E1471">
        <w:rPr>
          <w:sz w:val="20"/>
          <w:szCs w:val="20"/>
        </w:rPr>
        <w:t>3rd Floor, United Nations Service Building</w:t>
      </w:r>
      <w:r>
        <w:rPr>
          <w:sz w:val="20"/>
          <w:szCs w:val="20"/>
        </w:rPr>
        <w:br/>
      </w:r>
      <w:proofErr w:type="spellStart"/>
      <w:r w:rsidRPr="007E1471">
        <w:rPr>
          <w:sz w:val="20"/>
          <w:szCs w:val="20"/>
        </w:rPr>
        <w:t>Rajdamnern</w:t>
      </w:r>
      <w:proofErr w:type="spellEnd"/>
      <w:r w:rsidRPr="007E1471">
        <w:rPr>
          <w:sz w:val="20"/>
          <w:szCs w:val="20"/>
        </w:rPr>
        <w:t xml:space="preserve"> </w:t>
      </w:r>
      <w:proofErr w:type="spellStart"/>
      <w:r w:rsidRPr="007E1471">
        <w:rPr>
          <w:sz w:val="20"/>
          <w:szCs w:val="20"/>
        </w:rPr>
        <w:t>Nok</w:t>
      </w:r>
      <w:proofErr w:type="spellEnd"/>
      <w:r w:rsidRPr="007E1471">
        <w:rPr>
          <w:sz w:val="20"/>
          <w:szCs w:val="20"/>
        </w:rPr>
        <w:t xml:space="preserve"> Avenue</w:t>
      </w:r>
      <w:r>
        <w:rPr>
          <w:sz w:val="20"/>
          <w:szCs w:val="20"/>
        </w:rPr>
        <w:br/>
      </w:r>
      <w:r w:rsidRPr="007E1471">
        <w:rPr>
          <w:sz w:val="20"/>
          <w:szCs w:val="20"/>
        </w:rPr>
        <w:t>Bangkok 10200</w:t>
      </w:r>
      <w:r>
        <w:rPr>
          <w:sz w:val="20"/>
          <w:szCs w:val="20"/>
        </w:rPr>
        <w:br/>
      </w:r>
      <w:r w:rsidRPr="007E1471">
        <w:rPr>
          <w:sz w:val="20"/>
          <w:szCs w:val="20"/>
        </w:rPr>
        <w:t>Thailand</w:t>
      </w:r>
    </w:p>
    <w:p w14:paraId="5578317F" w14:textId="588AA268" w:rsidR="007E1471" w:rsidRPr="007E1471" w:rsidRDefault="007E1471" w:rsidP="00031E53">
      <w:pPr>
        <w:spacing w:before="120"/>
        <w:rPr>
          <w:sz w:val="20"/>
          <w:szCs w:val="20"/>
        </w:rPr>
      </w:pPr>
      <w:r w:rsidRPr="007E1471">
        <w:rPr>
          <w:sz w:val="20"/>
          <w:szCs w:val="20"/>
        </w:rPr>
        <w:t xml:space="preserve">Email: </w:t>
      </w:r>
      <w:hyperlink r:id="rId13" w:history="1">
        <w:r w:rsidR="00031E53" w:rsidRPr="00983E8B">
          <w:rPr>
            <w:rStyle w:val="Hyperlink"/>
            <w:sz w:val="20"/>
            <w:szCs w:val="20"/>
          </w:rPr>
          <w:t>registry.th@undp.org</w:t>
        </w:r>
      </w:hyperlink>
      <w:r w:rsidR="00031E53">
        <w:rPr>
          <w:sz w:val="20"/>
          <w:szCs w:val="20"/>
        </w:rPr>
        <w:t xml:space="preserve"> </w:t>
      </w:r>
      <w:r w:rsidR="00031E53">
        <w:rPr>
          <w:sz w:val="20"/>
          <w:szCs w:val="20"/>
        </w:rPr>
        <w:br/>
      </w:r>
      <w:r w:rsidRPr="007E1471">
        <w:rPr>
          <w:sz w:val="20"/>
          <w:szCs w:val="20"/>
        </w:rPr>
        <w:t xml:space="preserve">Web: </w:t>
      </w:r>
      <w:hyperlink r:id="rId14" w:history="1">
        <w:r w:rsidRPr="007E1471">
          <w:rPr>
            <w:rStyle w:val="Hyperlink"/>
            <w:sz w:val="20"/>
            <w:szCs w:val="20"/>
          </w:rPr>
          <w:t>www.asia-pacific.undp.org</w:t>
        </w:r>
      </w:hyperlink>
    </w:p>
    <w:p w14:paraId="7A6B7C72" w14:textId="67770F49" w:rsidR="00AD3B45" w:rsidRDefault="00AD3B45">
      <w:pPr>
        <w:spacing w:before="0" w:after="0"/>
        <w:rPr>
          <w:rFonts w:cs="Arial"/>
          <w:bCs/>
          <w:color w:val="0081C6"/>
          <w:kern w:val="32"/>
          <w:sz w:val="36"/>
          <w:szCs w:val="32"/>
        </w:rPr>
      </w:pPr>
      <w:r>
        <w:br w:type="page"/>
      </w:r>
    </w:p>
    <w:p w14:paraId="4F3DF48D" w14:textId="7880A5F4" w:rsidR="005B430B" w:rsidRDefault="005B430B" w:rsidP="00BA479C">
      <w:pPr>
        <w:pStyle w:val="Heading1"/>
      </w:pPr>
      <w:bookmarkStart w:id="9" w:name="_Toc246515467"/>
      <w:bookmarkStart w:id="10" w:name="_Toc261635494"/>
      <w:bookmarkStart w:id="11" w:name="_Toc261640079"/>
      <w:bookmarkStart w:id="12" w:name="_Toc261640206"/>
      <w:bookmarkStart w:id="13" w:name="_Toc263673343"/>
      <w:bookmarkStart w:id="14" w:name="_Toc265226219"/>
      <w:bookmarkStart w:id="15" w:name="_Toc339881628"/>
      <w:bookmarkStart w:id="16" w:name="_Toc339885727"/>
      <w:bookmarkStart w:id="17" w:name="_Toc343864913"/>
      <w:bookmarkStart w:id="18" w:name="_Toc348705439"/>
      <w:bookmarkStart w:id="19" w:name="_Toc491253839"/>
      <w:bookmarkStart w:id="20" w:name="_Toc491332752"/>
      <w:r>
        <w:lastRenderedPageBreak/>
        <w:t>Contents</w:t>
      </w:r>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17"/>
      <w:bookmarkEnd w:id="18"/>
      <w:bookmarkEnd w:id="19"/>
      <w:bookmarkEnd w:id="20"/>
    </w:p>
    <w:p w14:paraId="60A1BE3D" w14:textId="02EC5A74" w:rsidR="00DF500D" w:rsidRPr="00DF500D" w:rsidRDefault="000670EF">
      <w:pPr>
        <w:pStyle w:val="TOC1"/>
        <w:rPr>
          <w:rFonts w:asciiTheme="minorHAnsi" w:eastAsiaTheme="minorEastAsia" w:hAnsiTheme="minorHAnsi" w:cstheme="minorBidi"/>
          <w:b w:val="0"/>
          <w:color w:val="000000" w:themeColor="text1"/>
          <w:sz w:val="24"/>
          <w:szCs w:val="24"/>
          <w:lang w:val="en-GB" w:eastAsia="en-GB"/>
        </w:rPr>
      </w:pPr>
      <w:r>
        <w:fldChar w:fldCharType="begin"/>
      </w:r>
      <w:r>
        <w:instrText xml:space="preserve"> TOC \o "1-1" \t "Heading 2,2,Heading 3,3,Part heading,1" </w:instrText>
      </w:r>
      <w:r>
        <w:fldChar w:fldCharType="separate"/>
      </w:r>
      <w:r w:rsidR="00DF500D" w:rsidRPr="00DF500D">
        <w:rPr>
          <w:b w:val="0"/>
          <w:color w:val="000000" w:themeColor="text1"/>
        </w:rPr>
        <w:t>Abbreviations</w:t>
      </w:r>
      <w:r w:rsidR="00DF500D" w:rsidRPr="00DF500D">
        <w:rPr>
          <w:b w:val="0"/>
          <w:color w:val="000000" w:themeColor="text1"/>
        </w:rPr>
        <w:tab/>
      </w:r>
      <w:r w:rsidR="00DF500D" w:rsidRPr="00DF500D">
        <w:rPr>
          <w:b w:val="0"/>
          <w:color w:val="000000" w:themeColor="text1"/>
        </w:rPr>
        <w:fldChar w:fldCharType="begin"/>
      </w:r>
      <w:r w:rsidR="00DF500D" w:rsidRPr="00DF500D">
        <w:rPr>
          <w:b w:val="0"/>
          <w:color w:val="000000" w:themeColor="text1"/>
        </w:rPr>
        <w:instrText xml:space="preserve"> PAGEREF _Toc491332753 \h </w:instrText>
      </w:r>
      <w:r w:rsidR="00DF500D" w:rsidRPr="00DF500D">
        <w:rPr>
          <w:b w:val="0"/>
          <w:color w:val="000000" w:themeColor="text1"/>
        </w:rPr>
      </w:r>
      <w:r w:rsidR="00DF500D" w:rsidRPr="00DF500D">
        <w:rPr>
          <w:b w:val="0"/>
          <w:color w:val="000000" w:themeColor="text1"/>
        </w:rPr>
        <w:fldChar w:fldCharType="separate"/>
      </w:r>
      <w:r w:rsidR="006F368D">
        <w:rPr>
          <w:b w:val="0"/>
          <w:color w:val="000000" w:themeColor="text1"/>
        </w:rPr>
        <w:t>5</w:t>
      </w:r>
      <w:r w:rsidR="00DF500D" w:rsidRPr="00DF500D">
        <w:rPr>
          <w:b w:val="0"/>
          <w:color w:val="000000" w:themeColor="text1"/>
        </w:rPr>
        <w:fldChar w:fldCharType="end"/>
      </w:r>
    </w:p>
    <w:p w14:paraId="380C18D4" w14:textId="77777777" w:rsidR="00DF500D" w:rsidRPr="00DF500D" w:rsidRDefault="00DF500D" w:rsidP="009520D3">
      <w:pPr>
        <w:pStyle w:val="TOC1"/>
        <w:spacing w:before="120"/>
        <w:rPr>
          <w:rFonts w:asciiTheme="minorHAnsi" w:eastAsiaTheme="minorEastAsia" w:hAnsiTheme="minorHAnsi" w:cstheme="minorBidi"/>
          <w:b w:val="0"/>
          <w:color w:val="000000" w:themeColor="text1"/>
          <w:sz w:val="24"/>
          <w:szCs w:val="24"/>
          <w:lang w:val="en-GB" w:eastAsia="en-GB"/>
        </w:rPr>
      </w:pPr>
      <w:r w:rsidRPr="00DF500D">
        <w:rPr>
          <w:b w:val="0"/>
          <w:color w:val="000000" w:themeColor="text1"/>
        </w:rPr>
        <w:t>Acknowledgements</w:t>
      </w:r>
      <w:r w:rsidRPr="00DF500D">
        <w:rPr>
          <w:b w:val="0"/>
          <w:color w:val="000000" w:themeColor="text1"/>
        </w:rPr>
        <w:tab/>
      </w:r>
      <w:r w:rsidRPr="00DF500D">
        <w:rPr>
          <w:b w:val="0"/>
          <w:color w:val="000000" w:themeColor="text1"/>
        </w:rPr>
        <w:fldChar w:fldCharType="begin"/>
      </w:r>
      <w:r w:rsidRPr="00DF500D">
        <w:rPr>
          <w:b w:val="0"/>
          <w:color w:val="000000" w:themeColor="text1"/>
        </w:rPr>
        <w:instrText xml:space="preserve"> PAGEREF _Toc491332754 \h </w:instrText>
      </w:r>
      <w:r w:rsidRPr="00DF500D">
        <w:rPr>
          <w:b w:val="0"/>
          <w:color w:val="000000" w:themeColor="text1"/>
        </w:rPr>
      </w:r>
      <w:r w:rsidRPr="00DF500D">
        <w:rPr>
          <w:b w:val="0"/>
          <w:color w:val="000000" w:themeColor="text1"/>
        </w:rPr>
        <w:fldChar w:fldCharType="separate"/>
      </w:r>
      <w:r w:rsidR="006F368D">
        <w:rPr>
          <w:b w:val="0"/>
          <w:color w:val="000000" w:themeColor="text1"/>
        </w:rPr>
        <w:t>6</w:t>
      </w:r>
      <w:r w:rsidRPr="00DF500D">
        <w:rPr>
          <w:b w:val="0"/>
          <w:color w:val="000000" w:themeColor="text1"/>
        </w:rPr>
        <w:fldChar w:fldCharType="end"/>
      </w:r>
    </w:p>
    <w:p w14:paraId="432161B8" w14:textId="77777777" w:rsidR="00DF500D" w:rsidRPr="00DF500D" w:rsidRDefault="00DF500D" w:rsidP="009207BB">
      <w:pPr>
        <w:pStyle w:val="TOC0"/>
        <w:rPr>
          <w:rFonts w:asciiTheme="minorHAnsi" w:eastAsiaTheme="minorEastAsia" w:hAnsiTheme="minorHAnsi" w:cstheme="minorBidi"/>
          <w:b/>
          <w:color w:val="0081C6"/>
          <w:sz w:val="24"/>
          <w:lang w:val="en-GB" w:eastAsia="en-GB"/>
        </w:rPr>
      </w:pPr>
      <w:r w:rsidRPr="00DF500D">
        <w:rPr>
          <w:b/>
          <w:color w:val="0081C6"/>
        </w:rPr>
        <w:t>1.</w:t>
      </w:r>
      <w:r w:rsidRPr="00DF500D">
        <w:rPr>
          <w:rFonts w:asciiTheme="minorHAnsi" w:eastAsiaTheme="minorEastAsia" w:hAnsiTheme="minorHAnsi" w:cstheme="minorBidi"/>
          <w:b/>
          <w:color w:val="0081C6"/>
          <w:sz w:val="24"/>
          <w:lang w:val="en-GB" w:eastAsia="en-GB"/>
        </w:rPr>
        <w:tab/>
      </w:r>
      <w:r w:rsidRPr="00DF500D">
        <w:rPr>
          <w:b/>
          <w:color w:val="0081C6"/>
        </w:rPr>
        <w:t>Introduction</w:t>
      </w:r>
      <w:r w:rsidRPr="00DF500D">
        <w:rPr>
          <w:b/>
          <w:color w:val="0081C6"/>
        </w:rPr>
        <w:tab/>
      </w:r>
      <w:r w:rsidRPr="00DF500D">
        <w:rPr>
          <w:b/>
          <w:color w:val="0081C6"/>
        </w:rPr>
        <w:fldChar w:fldCharType="begin"/>
      </w:r>
      <w:r w:rsidRPr="00DF500D">
        <w:rPr>
          <w:b/>
          <w:color w:val="0081C6"/>
        </w:rPr>
        <w:instrText xml:space="preserve"> PAGEREF _Toc491332755 \h </w:instrText>
      </w:r>
      <w:r w:rsidRPr="00DF500D">
        <w:rPr>
          <w:b/>
          <w:color w:val="0081C6"/>
        </w:rPr>
      </w:r>
      <w:r w:rsidRPr="00DF500D">
        <w:rPr>
          <w:b/>
          <w:color w:val="0081C6"/>
        </w:rPr>
        <w:fldChar w:fldCharType="separate"/>
      </w:r>
      <w:r w:rsidR="006F368D">
        <w:rPr>
          <w:b/>
          <w:color w:val="0081C6"/>
        </w:rPr>
        <w:t>8</w:t>
      </w:r>
      <w:r w:rsidRPr="00DF500D">
        <w:rPr>
          <w:b/>
          <w:color w:val="0081C6"/>
        </w:rPr>
        <w:fldChar w:fldCharType="end"/>
      </w:r>
    </w:p>
    <w:p w14:paraId="72AEAE7A" w14:textId="77777777" w:rsidR="00DF500D" w:rsidRDefault="00DF500D">
      <w:pPr>
        <w:pStyle w:val="TOC1"/>
        <w:rPr>
          <w:rFonts w:asciiTheme="minorHAnsi" w:eastAsiaTheme="minorEastAsia" w:hAnsiTheme="minorHAnsi" w:cstheme="minorBidi"/>
          <w:b w:val="0"/>
          <w:color w:val="auto"/>
          <w:sz w:val="24"/>
          <w:szCs w:val="24"/>
          <w:lang w:val="en-GB" w:eastAsia="en-GB"/>
        </w:rPr>
      </w:pPr>
      <w:r>
        <w:t>2.</w:t>
      </w:r>
      <w:r>
        <w:rPr>
          <w:rFonts w:asciiTheme="minorHAnsi" w:eastAsiaTheme="minorEastAsia" w:hAnsiTheme="minorHAnsi" w:cstheme="minorBidi"/>
          <w:b w:val="0"/>
          <w:color w:val="auto"/>
          <w:sz w:val="24"/>
          <w:szCs w:val="24"/>
          <w:lang w:val="en-GB" w:eastAsia="en-GB"/>
        </w:rPr>
        <w:tab/>
      </w:r>
      <w:r>
        <w:t>Objectives and outcomes of the Conference</w:t>
      </w:r>
      <w:r>
        <w:tab/>
      </w:r>
      <w:r>
        <w:fldChar w:fldCharType="begin"/>
      </w:r>
      <w:r>
        <w:instrText xml:space="preserve"> PAGEREF _Toc491332756 \h </w:instrText>
      </w:r>
      <w:r>
        <w:fldChar w:fldCharType="separate"/>
      </w:r>
      <w:r w:rsidR="006F368D">
        <w:t>9</w:t>
      </w:r>
      <w:r>
        <w:fldChar w:fldCharType="end"/>
      </w:r>
    </w:p>
    <w:p w14:paraId="326867F8"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2.1.</w:t>
      </w:r>
      <w:r>
        <w:rPr>
          <w:rFonts w:asciiTheme="minorHAnsi" w:eastAsiaTheme="minorEastAsia" w:hAnsiTheme="minorHAnsi" w:cstheme="minorBidi"/>
          <w:noProof/>
          <w:sz w:val="24"/>
          <w:szCs w:val="24"/>
          <w:lang w:val="en-GB" w:eastAsia="en-GB"/>
        </w:rPr>
        <w:tab/>
      </w:r>
      <w:r>
        <w:rPr>
          <w:noProof/>
        </w:rPr>
        <w:t>Objectives</w:t>
      </w:r>
      <w:r>
        <w:rPr>
          <w:noProof/>
        </w:rPr>
        <w:tab/>
      </w:r>
      <w:r>
        <w:rPr>
          <w:noProof/>
        </w:rPr>
        <w:fldChar w:fldCharType="begin"/>
      </w:r>
      <w:r>
        <w:rPr>
          <w:noProof/>
        </w:rPr>
        <w:instrText xml:space="preserve"> PAGEREF _Toc491332757 \h </w:instrText>
      </w:r>
      <w:r>
        <w:rPr>
          <w:noProof/>
        </w:rPr>
      </w:r>
      <w:r>
        <w:rPr>
          <w:noProof/>
        </w:rPr>
        <w:fldChar w:fldCharType="separate"/>
      </w:r>
      <w:r w:rsidR="006F368D">
        <w:rPr>
          <w:noProof/>
        </w:rPr>
        <w:t>9</w:t>
      </w:r>
      <w:r>
        <w:rPr>
          <w:noProof/>
        </w:rPr>
        <w:fldChar w:fldCharType="end"/>
      </w:r>
    </w:p>
    <w:p w14:paraId="6A69736D"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2.2.</w:t>
      </w:r>
      <w:r>
        <w:rPr>
          <w:rFonts w:asciiTheme="minorHAnsi" w:eastAsiaTheme="minorEastAsia" w:hAnsiTheme="minorHAnsi" w:cstheme="minorBidi"/>
          <w:noProof/>
          <w:sz w:val="24"/>
          <w:szCs w:val="24"/>
          <w:lang w:val="en-GB" w:eastAsia="en-GB"/>
        </w:rPr>
        <w:tab/>
      </w:r>
      <w:r>
        <w:rPr>
          <w:noProof/>
        </w:rPr>
        <w:t>Expected outcomes</w:t>
      </w:r>
      <w:r>
        <w:rPr>
          <w:noProof/>
        </w:rPr>
        <w:tab/>
      </w:r>
      <w:r>
        <w:rPr>
          <w:noProof/>
        </w:rPr>
        <w:fldChar w:fldCharType="begin"/>
      </w:r>
      <w:r>
        <w:rPr>
          <w:noProof/>
        </w:rPr>
        <w:instrText xml:space="preserve"> PAGEREF _Toc491332758 \h </w:instrText>
      </w:r>
      <w:r>
        <w:rPr>
          <w:noProof/>
        </w:rPr>
      </w:r>
      <w:r>
        <w:rPr>
          <w:noProof/>
        </w:rPr>
        <w:fldChar w:fldCharType="separate"/>
      </w:r>
      <w:r w:rsidR="006F368D">
        <w:rPr>
          <w:noProof/>
        </w:rPr>
        <w:t>9</w:t>
      </w:r>
      <w:r>
        <w:rPr>
          <w:noProof/>
        </w:rPr>
        <w:fldChar w:fldCharType="end"/>
      </w:r>
    </w:p>
    <w:p w14:paraId="6A7E10BC" w14:textId="77777777" w:rsidR="00DF500D" w:rsidRDefault="00DF500D">
      <w:pPr>
        <w:pStyle w:val="TOC1"/>
        <w:rPr>
          <w:rFonts w:asciiTheme="minorHAnsi" w:eastAsiaTheme="minorEastAsia" w:hAnsiTheme="minorHAnsi" w:cstheme="minorBidi"/>
          <w:b w:val="0"/>
          <w:color w:val="auto"/>
          <w:sz w:val="24"/>
          <w:szCs w:val="24"/>
          <w:lang w:val="en-GB" w:eastAsia="en-GB"/>
        </w:rPr>
      </w:pPr>
      <w:r>
        <w:t>3.</w:t>
      </w:r>
      <w:r>
        <w:rPr>
          <w:rFonts w:asciiTheme="minorHAnsi" w:eastAsiaTheme="minorEastAsia" w:hAnsiTheme="minorHAnsi" w:cstheme="minorBidi"/>
          <w:b w:val="0"/>
          <w:color w:val="auto"/>
          <w:sz w:val="24"/>
          <w:szCs w:val="24"/>
          <w:lang w:val="en-GB" w:eastAsia="en-GB"/>
        </w:rPr>
        <w:tab/>
      </w:r>
      <w:r>
        <w:t>Structure and themes of the Conference</w:t>
      </w:r>
      <w:r>
        <w:tab/>
      </w:r>
      <w:r>
        <w:fldChar w:fldCharType="begin"/>
      </w:r>
      <w:r>
        <w:instrText xml:space="preserve"> PAGEREF _Toc491332759 \h </w:instrText>
      </w:r>
      <w:r>
        <w:fldChar w:fldCharType="separate"/>
      </w:r>
      <w:r w:rsidR="006F368D">
        <w:t>11</w:t>
      </w:r>
      <w:r>
        <w:fldChar w:fldCharType="end"/>
      </w:r>
    </w:p>
    <w:p w14:paraId="0154EAF8"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3.1.</w:t>
      </w:r>
      <w:r>
        <w:rPr>
          <w:rFonts w:asciiTheme="minorHAnsi" w:eastAsiaTheme="minorEastAsia" w:hAnsiTheme="minorHAnsi" w:cstheme="minorBidi"/>
          <w:noProof/>
          <w:sz w:val="24"/>
          <w:szCs w:val="24"/>
          <w:lang w:val="en-GB" w:eastAsia="en-GB"/>
        </w:rPr>
        <w:tab/>
      </w:r>
      <w:r>
        <w:rPr>
          <w:noProof/>
        </w:rPr>
        <w:t>Past</w:t>
      </w:r>
      <w:r>
        <w:rPr>
          <w:noProof/>
        </w:rPr>
        <w:tab/>
      </w:r>
      <w:r>
        <w:rPr>
          <w:noProof/>
        </w:rPr>
        <w:fldChar w:fldCharType="begin"/>
      </w:r>
      <w:r>
        <w:rPr>
          <w:noProof/>
        </w:rPr>
        <w:instrText xml:space="preserve"> PAGEREF _Toc491332760 \h </w:instrText>
      </w:r>
      <w:r>
        <w:rPr>
          <w:noProof/>
        </w:rPr>
      </w:r>
      <w:r>
        <w:rPr>
          <w:noProof/>
        </w:rPr>
        <w:fldChar w:fldCharType="separate"/>
      </w:r>
      <w:r w:rsidR="006F368D">
        <w:rPr>
          <w:noProof/>
        </w:rPr>
        <w:t>11</w:t>
      </w:r>
      <w:r>
        <w:rPr>
          <w:noProof/>
        </w:rPr>
        <w:fldChar w:fldCharType="end"/>
      </w:r>
    </w:p>
    <w:p w14:paraId="31C6EA6F"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3.2.</w:t>
      </w:r>
      <w:r>
        <w:rPr>
          <w:rFonts w:asciiTheme="minorHAnsi" w:eastAsiaTheme="minorEastAsia" w:hAnsiTheme="minorHAnsi" w:cstheme="minorBidi"/>
          <w:noProof/>
          <w:sz w:val="24"/>
          <w:szCs w:val="24"/>
          <w:lang w:val="en-GB" w:eastAsia="en-GB"/>
        </w:rPr>
        <w:tab/>
      </w:r>
      <w:r>
        <w:rPr>
          <w:noProof/>
        </w:rPr>
        <w:t>Present</w:t>
      </w:r>
      <w:r>
        <w:rPr>
          <w:noProof/>
        </w:rPr>
        <w:tab/>
      </w:r>
      <w:r>
        <w:rPr>
          <w:noProof/>
        </w:rPr>
        <w:fldChar w:fldCharType="begin"/>
      </w:r>
      <w:r>
        <w:rPr>
          <w:noProof/>
        </w:rPr>
        <w:instrText xml:space="preserve"> PAGEREF _Toc491332761 \h </w:instrText>
      </w:r>
      <w:r>
        <w:rPr>
          <w:noProof/>
        </w:rPr>
      </w:r>
      <w:r>
        <w:rPr>
          <w:noProof/>
        </w:rPr>
        <w:fldChar w:fldCharType="separate"/>
      </w:r>
      <w:r w:rsidR="006F368D">
        <w:rPr>
          <w:noProof/>
        </w:rPr>
        <w:t>11</w:t>
      </w:r>
      <w:r>
        <w:rPr>
          <w:noProof/>
        </w:rPr>
        <w:fldChar w:fldCharType="end"/>
      </w:r>
    </w:p>
    <w:p w14:paraId="371C82F6"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3.3.</w:t>
      </w:r>
      <w:r>
        <w:rPr>
          <w:rFonts w:asciiTheme="minorHAnsi" w:eastAsiaTheme="minorEastAsia" w:hAnsiTheme="minorHAnsi" w:cstheme="minorBidi"/>
          <w:noProof/>
          <w:sz w:val="24"/>
          <w:szCs w:val="24"/>
          <w:lang w:val="en-GB" w:eastAsia="en-GB"/>
        </w:rPr>
        <w:tab/>
      </w:r>
      <w:r>
        <w:rPr>
          <w:noProof/>
        </w:rPr>
        <w:t>Future</w:t>
      </w:r>
      <w:r>
        <w:rPr>
          <w:noProof/>
        </w:rPr>
        <w:tab/>
      </w:r>
      <w:r>
        <w:rPr>
          <w:noProof/>
        </w:rPr>
        <w:fldChar w:fldCharType="begin"/>
      </w:r>
      <w:r>
        <w:rPr>
          <w:noProof/>
        </w:rPr>
        <w:instrText xml:space="preserve"> PAGEREF _Toc491332762 \h </w:instrText>
      </w:r>
      <w:r>
        <w:rPr>
          <w:noProof/>
        </w:rPr>
      </w:r>
      <w:r>
        <w:rPr>
          <w:noProof/>
        </w:rPr>
        <w:fldChar w:fldCharType="separate"/>
      </w:r>
      <w:r w:rsidR="006F368D">
        <w:rPr>
          <w:noProof/>
        </w:rPr>
        <w:t>12</w:t>
      </w:r>
      <w:r>
        <w:rPr>
          <w:noProof/>
        </w:rPr>
        <w:fldChar w:fldCharType="end"/>
      </w:r>
    </w:p>
    <w:p w14:paraId="5BD8E627"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3.4.</w:t>
      </w:r>
      <w:r>
        <w:rPr>
          <w:rFonts w:asciiTheme="minorHAnsi" w:eastAsiaTheme="minorEastAsia" w:hAnsiTheme="minorHAnsi" w:cstheme="minorBidi"/>
          <w:noProof/>
          <w:sz w:val="24"/>
          <w:szCs w:val="24"/>
          <w:lang w:val="en-GB" w:eastAsia="en-GB"/>
        </w:rPr>
        <w:tab/>
      </w:r>
      <w:r>
        <w:rPr>
          <w:noProof/>
        </w:rPr>
        <w:t>Working method of the Conference</w:t>
      </w:r>
      <w:r>
        <w:rPr>
          <w:noProof/>
        </w:rPr>
        <w:tab/>
      </w:r>
      <w:r>
        <w:rPr>
          <w:noProof/>
        </w:rPr>
        <w:fldChar w:fldCharType="begin"/>
      </w:r>
      <w:r>
        <w:rPr>
          <w:noProof/>
        </w:rPr>
        <w:instrText xml:space="preserve"> PAGEREF _Toc491332763 \h </w:instrText>
      </w:r>
      <w:r>
        <w:rPr>
          <w:noProof/>
        </w:rPr>
      </w:r>
      <w:r>
        <w:rPr>
          <w:noProof/>
        </w:rPr>
        <w:fldChar w:fldCharType="separate"/>
      </w:r>
      <w:r w:rsidR="006F368D">
        <w:rPr>
          <w:noProof/>
        </w:rPr>
        <w:t>12</w:t>
      </w:r>
      <w:r>
        <w:rPr>
          <w:noProof/>
        </w:rPr>
        <w:fldChar w:fldCharType="end"/>
      </w:r>
    </w:p>
    <w:p w14:paraId="2B0252F7" w14:textId="77777777" w:rsidR="00DF500D" w:rsidRDefault="00DF500D">
      <w:pPr>
        <w:pStyle w:val="TOC1"/>
        <w:rPr>
          <w:rFonts w:asciiTheme="minorHAnsi" w:eastAsiaTheme="minorEastAsia" w:hAnsiTheme="minorHAnsi" w:cstheme="minorBidi"/>
          <w:b w:val="0"/>
          <w:color w:val="auto"/>
          <w:sz w:val="24"/>
          <w:szCs w:val="24"/>
          <w:lang w:val="en-GB" w:eastAsia="en-GB"/>
        </w:rPr>
      </w:pPr>
      <w:r>
        <w:t>4.</w:t>
      </w:r>
      <w:r>
        <w:rPr>
          <w:rFonts w:asciiTheme="minorHAnsi" w:eastAsiaTheme="minorEastAsia" w:hAnsiTheme="minorHAnsi" w:cstheme="minorBidi"/>
          <w:b w:val="0"/>
          <w:color w:val="auto"/>
          <w:sz w:val="24"/>
          <w:szCs w:val="24"/>
          <w:lang w:val="en-GB" w:eastAsia="en-GB"/>
        </w:rPr>
        <w:tab/>
      </w:r>
      <w:r>
        <w:t>Summary of proceedings – Day 1</w:t>
      </w:r>
      <w:r>
        <w:tab/>
      </w:r>
      <w:r>
        <w:fldChar w:fldCharType="begin"/>
      </w:r>
      <w:r>
        <w:instrText xml:space="preserve"> PAGEREF _Toc491332764 \h </w:instrText>
      </w:r>
      <w:r>
        <w:fldChar w:fldCharType="separate"/>
      </w:r>
      <w:r w:rsidR="006F368D">
        <w:t>13</w:t>
      </w:r>
      <w:r>
        <w:fldChar w:fldCharType="end"/>
      </w:r>
    </w:p>
    <w:p w14:paraId="13359DAF" w14:textId="77777777" w:rsidR="00DF500D" w:rsidRDefault="00DF500D">
      <w:pPr>
        <w:pStyle w:val="TOC2"/>
        <w:rPr>
          <w:rFonts w:asciiTheme="minorHAnsi" w:eastAsiaTheme="minorEastAsia" w:hAnsiTheme="minorHAnsi" w:cstheme="minorBidi"/>
          <w:noProof/>
          <w:sz w:val="24"/>
          <w:szCs w:val="24"/>
          <w:lang w:val="en-GB" w:eastAsia="en-GB"/>
        </w:rPr>
      </w:pPr>
      <w:r>
        <w:rPr>
          <w:noProof/>
        </w:rPr>
        <w:t>Session 1: Conference welcome session</w:t>
      </w:r>
      <w:r>
        <w:rPr>
          <w:noProof/>
        </w:rPr>
        <w:tab/>
      </w:r>
      <w:r>
        <w:rPr>
          <w:noProof/>
        </w:rPr>
        <w:fldChar w:fldCharType="begin"/>
      </w:r>
      <w:r>
        <w:rPr>
          <w:noProof/>
        </w:rPr>
        <w:instrText xml:space="preserve"> PAGEREF _Toc491332765 \h </w:instrText>
      </w:r>
      <w:r>
        <w:rPr>
          <w:noProof/>
        </w:rPr>
      </w:r>
      <w:r>
        <w:rPr>
          <w:noProof/>
        </w:rPr>
        <w:fldChar w:fldCharType="separate"/>
      </w:r>
      <w:r w:rsidR="006F368D">
        <w:rPr>
          <w:noProof/>
        </w:rPr>
        <w:t>13</w:t>
      </w:r>
      <w:r>
        <w:rPr>
          <w:noProof/>
        </w:rPr>
        <w:fldChar w:fldCharType="end"/>
      </w:r>
    </w:p>
    <w:p w14:paraId="0AEEEEC9" w14:textId="77777777" w:rsidR="00DF500D" w:rsidRDefault="00DF500D">
      <w:pPr>
        <w:pStyle w:val="TOC2"/>
        <w:rPr>
          <w:rFonts w:asciiTheme="minorHAnsi" w:eastAsiaTheme="minorEastAsia" w:hAnsiTheme="minorHAnsi" w:cstheme="minorBidi"/>
          <w:noProof/>
          <w:sz w:val="24"/>
          <w:szCs w:val="24"/>
          <w:lang w:val="en-GB" w:eastAsia="en-GB"/>
        </w:rPr>
      </w:pPr>
      <w:r>
        <w:rPr>
          <w:noProof/>
        </w:rPr>
        <w:t>Session 2: Keynote opening address</w:t>
      </w:r>
      <w:r>
        <w:rPr>
          <w:noProof/>
        </w:rPr>
        <w:tab/>
      </w:r>
      <w:r>
        <w:rPr>
          <w:noProof/>
        </w:rPr>
        <w:fldChar w:fldCharType="begin"/>
      </w:r>
      <w:r>
        <w:rPr>
          <w:noProof/>
        </w:rPr>
        <w:instrText xml:space="preserve"> PAGEREF _Toc491332766 \h </w:instrText>
      </w:r>
      <w:r>
        <w:rPr>
          <w:noProof/>
        </w:rPr>
      </w:r>
      <w:r>
        <w:rPr>
          <w:noProof/>
        </w:rPr>
        <w:fldChar w:fldCharType="separate"/>
      </w:r>
      <w:r w:rsidR="006F368D">
        <w:rPr>
          <w:noProof/>
        </w:rPr>
        <w:t>15</w:t>
      </w:r>
      <w:r>
        <w:rPr>
          <w:noProof/>
        </w:rPr>
        <w:fldChar w:fldCharType="end"/>
      </w:r>
    </w:p>
    <w:p w14:paraId="0B4B4EF1" w14:textId="78CEC654" w:rsidR="00DF500D" w:rsidRDefault="00DF500D" w:rsidP="00DF500D">
      <w:pPr>
        <w:pStyle w:val="TOC2"/>
        <w:ind w:left="357" w:firstLine="0"/>
        <w:rPr>
          <w:rFonts w:asciiTheme="minorHAnsi" w:eastAsiaTheme="minorEastAsia" w:hAnsiTheme="minorHAnsi" w:cstheme="minorBidi"/>
          <w:noProof/>
          <w:sz w:val="24"/>
          <w:szCs w:val="24"/>
          <w:lang w:val="en-GB" w:eastAsia="en-GB"/>
        </w:rPr>
      </w:pPr>
      <w:r>
        <w:rPr>
          <w:noProof/>
        </w:rPr>
        <w:t>Session 3: Reflecting on the emergence of the Yogyakarta Principles, its content</w:t>
      </w:r>
      <w:r>
        <w:rPr>
          <w:noProof/>
        </w:rPr>
        <w:br/>
        <w:t>and application over 10 years</w:t>
      </w:r>
      <w:r>
        <w:rPr>
          <w:noProof/>
        </w:rPr>
        <w:tab/>
      </w:r>
      <w:r>
        <w:rPr>
          <w:noProof/>
        </w:rPr>
        <w:fldChar w:fldCharType="begin"/>
      </w:r>
      <w:r>
        <w:rPr>
          <w:noProof/>
        </w:rPr>
        <w:instrText xml:space="preserve"> PAGEREF _Toc491332767 \h </w:instrText>
      </w:r>
      <w:r>
        <w:rPr>
          <w:noProof/>
        </w:rPr>
      </w:r>
      <w:r>
        <w:rPr>
          <w:noProof/>
        </w:rPr>
        <w:fldChar w:fldCharType="separate"/>
      </w:r>
      <w:r w:rsidR="006F368D">
        <w:rPr>
          <w:noProof/>
        </w:rPr>
        <w:t>17</w:t>
      </w:r>
      <w:r>
        <w:rPr>
          <w:noProof/>
        </w:rPr>
        <w:fldChar w:fldCharType="end"/>
      </w:r>
    </w:p>
    <w:p w14:paraId="632036AF" w14:textId="13906428" w:rsidR="00DF500D" w:rsidRDefault="00DF500D" w:rsidP="00DF500D">
      <w:pPr>
        <w:pStyle w:val="TOC2"/>
        <w:ind w:left="357" w:firstLine="0"/>
        <w:rPr>
          <w:rFonts w:asciiTheme="minorHAnsi" w:eastAsiaTheme="minorEastAsia" w:hAnsiTheme="minorHAnsi" w:cstheme="minorBidi"/>
          <w:noProof/>
          <w:sz w:val="24"/>
          <w:szCs w:val="24"/>
          <w:lang w:val="en-GB" w:eastAsia="en-GB"/>
        </w:rPr>
      </w:pPr>
      <w:r>
        <w:rPr>
          <w:noProof/>
        </w:rPr>
        <w:t>Session 4: Challenges, barriers, limitations of the Yogyakarta Principles and how</w:t>
      </w:r>
      <w:r>
        <w:rPr>
          <w:noProof/>
        </w:rPr>
        <w:br/>
        <w:t>can it be strengthened for the future?</w:t>
      </w:r>
      <w:r>
        <w:rPr>
          <w:noProof/>
        </w:rPr>
        <w:tab/>
      </w:r>
      <w:r>
        <w:rPr>
          <w:noProof/>
        </w:rPr>
        <w:fldChar w:fldCharType="begin"/>
      </w:r>
      <w:r>
        <w:rPr>
          <w:noProof/>
        </w:rPr>
        <w:instrText xml:space="preserve"> PAGEREF _Toc491332768 \h </w:instrText>
      </w:r>
      <w:r>
        <w:rPr>
          <w:noProof/>
        </w:rPr>
      </w:r>
      <w:r>
        <w:rPr>
          <w:noProof/>
        </w:rPr>
        <w:fldChar w:fldCharType="separate"/>
      </w:r>
      <w:r w:rsidR="006F368D">
        <w:rPr>
          <w:noProof/>
        </w:rPr>
        <w:t>20</w:t>
      </w:r>
      <w:r>
        <w:rPr>
          <w:noProof/>
        </w:rPr>
        <w:fldChar w:fldCharType="end"/>
      </w:r>
    </w:p>
    <w:p w14:paraId="65DECE2F" w14:textId="64A3F79F" w:rsidR="00DF500D" w:rsidRDefault="00DF500D" w:rsidP="00DF500D">
      <w:pPr>
        <w:pStyle w:val="TOC2"/>
        <w:ind w:left="357" w:firstLine="0"/>
        <w:rPr>
          <w:noProof/>
        </w:rPr>
      </w:pPr>
      <w:r>
        <w:rPr>
          <w:noProof/>
        </w:rPr>
        <w:t xml:space="preserve">Session 5: Group discussions – How </w:t>
      </w:r>
      <w:r w:rsidR="00DC742C">
        <w:rPr>
          <w:noProof/>
        </w:rPr>
        <w:t xml:space="preserve">can </w:t>
      </w:r>
      <w:r>
        <w:rPr>
          <w:noProof/>
        </w:rPr>
        <w:t>the Yogyakarta Principles be strengthened</w:t>
      </w:r>
      <w:r>
        <w:rPr>
          <w:noProof/>
        </w:rPr>
        <w:br/>
        <w:t>and supplemented for the future?</w:t>
      </w:r>
      <w:r>
        <w:rPr>
          <w:noProof/>
        </w:rPr>
        <w:tab/>
      </w:r>
      <w:r>
        <w:rPr>
          <w:noProof/>
        </w:rPr>
        <w:fldChar w:fldCharType="begin"/>
      </w:r>
      <w:r>
        <w:rPr>
          <w:noProof/>
        </w:rPr>
        <w:instrText xml:space="preserve"> PAGEREF _Toc491332769 \h </w:instrText>
      </w:r>
      <w:r>
        <w:rPr>
          <w:noProof/>
        </w:rPr>
      </w:r>
      <w:r>
        <w:rPr>
          <w:noProof/>
        </w:rPr>
        <w:fldChar w:fldCharType="separate"/>
      </w:r>
      <w:r w:rsidR="006F368D">
        <w:rPr>
          <w:noProof/>
        </w:rPr>
        <w:t>23</w:t>
      </w:r>
      <w:r>
        <w:rPr>
          <w:noProof/>
        </w:rPr>
        <w:fldChar w:fldCharType="end"/>
      </w:r>
    </w:p>
    <w:p w14:paraId="4462D503" w14:textId="1D403A8F" w:rsidR="009520D3" w:rsidRDefault="009520D3" w:rsidP="009520D3">
      <w:pPr>
        <w:pStyle w:val="TOC3"/>
        <w:spacing w:before="120"/>
        <w:rPr>
          <w:noProof/>
        </w:rPr>
      </w:pPr>
      <w:r>
        <w:rPr>
          <w:noProof/>
        </w:rPr>
        <w:t>Group 1: Engaging the State (government, parliament, judiciary)</w:t>
      </w:r>
      <w:r>
        <w:rPr>
          <w:noProof/>
        </w:rPr>
        <w:tab/>
        <w:t>23</w:t>
      </w:r>
    </w:p>
    <w:p w14:paraId="54E62C59" w14:textId="3377226E" w:rsidR="009520D3" w:rsidRDefault="009520D3" w:rsidP="009520D3">
      <w:pPr>
        <w:pStyle w:val="TOC3"/>
        <w:spacing w:before="0"/>
        <w:rPr>
          <w:noProof/>
        </w:rPr>
      </w:pPr>
      <w:r>
        <w:rPr>
          <w:noProof/>
        </w:rPr>
        <w:t>Group 2: Engaging NHRIs</w:t>
      </w:r>
      <w:r>
        <w:rPr>
          <w:noProof/>
        </w:rPr>
        <w:tab/>
        <w:t>24</w:t>
      </w:r>
    </w:p>
    <w:p w14:paraId="44134CD3" w14:textId="079F9978" w:rsidR="009520D3" w:rsidRDefault="009520D3" w:rsidP="009520D3">
      <w:pPr>
        <w:pStyle w:val="TOC3"/>
        <w:spacing w:before="0"/>
        <w:rPr>
          <w:noProof/>
        </w:rPr>
      </w:pPr>
      <w:r>
        <w:rPr>
          <w:noProof/>
        </w:rPr>
        <w:t>Group 3: Engaging CSOs</w:t>
      </w:r>
      <w:r>
        <w:rPr>
          <w:noProof/>
        </w:rPr>
        <w:tab/>
        <w:t>25</w:t>
      </w:r>
    </w:p>
    <w:p w14:paraId="7C709F63" w14:textId="69DD7C24" w:rsidR="009520D3" w:rsidRPr="009520D3" w:rsidRDefault="009520D3" w:rsidP="009520D3">
      <w:pPr>
        <w:pStyle w:val="TOC3"/>
        <w:spacing w:before="0"/>
        <w:rPr>
          <w:noProof/>
        </w:rPr>
      </w:pPr>
      <w:r>
        <w:rPr>
          <w:noProof/>
        </w:rPr>
        <w:t>Group 4: Engaging UN agencies</w:t>
      </w:r>
      <w:r>
        <w:rPr>
          <w:noProof/>
        </w:rPr>
        <w:tab/>
        <w:t>24</w:t>
      </w:r>
    </w:p>
    <w:p w14:paraId="2F98CF85" w14:textId="77777777" w:rsidR="00DF500D" w:rsidRDefault="00DF500D">
      <w:pPr>
        <w:pStyle w:val="TOC1"/>
        <w:rPr>
          <w:rFonts w:asciiTheme="minorHAnsi" w:eastAsiaTheme="minorEastAsia" w:hAnsiTheme="minorHAnsi" w:cstheme="minorBidi"/>
          <w:b w:val="0"/>
          <w:color w:val="auto"/>
          <w:sz w:val="24"/>
          <w:szCs w:val="24"/>
          <w:lang w:val="en-GB" w:eastAsia="en-GB"/>
        </w:rPr>
      </w:pPr>
      <w:r>
        <w:t>5.</w:t>
      </w:r>
      <w:r>
        <w:rPr>
          <w:rFonts w:asciiTheme="minorHAnsi" w:eastAsiaTheme="minorEastAsia" w:hAnsiTheme="minorHAnsi" w:cstheme="minorBidi"/>
          <w:b w:val="0"/>
          <w:color w:val="auto"/>
          <w:sz w:val="24"/>
          <w:szCs w:val="24"/>
          <w:lang w:val="en-GB" w:eastAsia="en-GB"/>
        </w:rPr>
        <w:tab/>
      </w:r>
      <w:r>
        <w:t>Summary of proceedings – Day 2</w:t>
      </w:r>
      <w:r>
        <w:tab/>
      </w:r>
      <w:r>
        <w:fldChar w:fldCharType="begin"/>
      </w:r>
      <w:r>
        <w:instrText xml:space="preserve"> PAGEREF _Toc491332770 \h </w:instrText>
      </w:r>
      <w:r>
        <w:fldChar w:fldCharType="separate"/>
      </w:r>
      <w:r w:rsidR="006F368D">
        <w:t>27</w:t>
      </w:r>
      <w:r>
        <w:fldChar w:fldCharType="end"/>
      </w:r>
    </w:p>
    <w:p w14:paraId="145DF11E" w14:textId="77777777" w:rsidR="00DF500D" w:rsidRDefault="00DF500D">
      <w:pPr>
        <w:pStyle w:val="TOC2"/>
        <w:rPr>
          <w:rFonts w:asciiTheme="minorHAnsi" w:eastAsiaTheme="minorEastAsia" w:hAnsiTheme="minorHAnsi" w:cstheme="minorBidi"/>
          <w:noProof/>
          <w:sz w:val="24"/>
          <w:szCs w:val="24"/>
          <w:lang w:val="en-GB" w:eastAsia="en-GB"/>
        </w:rPr>
      </w:pPr>
      <w:r>
        <w:rPr>
          <w:noProof/>
        </w:rPr>
        <w:t>Session 6: Thematic workstation sessions</w:t>
      </w:r>
      <w:r>
        <w:rPr>
          <w:noProof/>
        </w:rPr>
        <w:tab/>
      </w:r>
      <w:r>
        <w:rPr>
          <w:noProof/>
        </w:rPr>
        <w:fldChar w:fldCharType="begin"/>
      </w:r>
      <w:r>
        <w:rPr>
          <w:noProof/>
        </w:rPr>
        <w:instrText xml:space="preserve"> PAGEREF _Toc491332771 \h </w:instrText>
      </w:r>
      <w:r>
        <w:rPr>
          <w:noProof/>
        </w:rPr>
      </w:r>
      <w:r>
        <w:rPr>
          <w:noProof/>
        </w:rPr>
        <w:fldChar w:fldCharType="separate"/>
      </w:r>
      <w:r w:rsidR="006F368D">
        <w:rPr>
          <w:noProof/>
        </w:rPr>
        <w:t>27</w:t>
      </w:r>
      <w:r>
        <w:rPr>
          <w:noProof/>
        </w:rPr>
        <w:fldChar w:fldCharType="end"/>
      </w:r>
    </w:p>
    <w:p w14:paraId="72F7D088"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1: Intersex people/sex characteristics</w:t>
      </w:r>
      <w:r>
        <w:rPr>
          <w:noProof/>
        </w:rPr>
        <w:tab/>
      </w:r>
      <w:r>
        <w:rPr>
          <w:noProof/>
        </w:rPr>
        <w:fldChar w:fldCharType="begin"/>
      </w:r>
      <w:r>
        <w:rPr>
          <w:noProof/>
        </w:rPr>
        <w:instrText xml:space="preserve"> PAGEREF _Toc491332772 \h </w:instrText>
      </w:r>
      <w:r>
        <w:rPr>
          <w:noProof/>
        </w:rPr>
      </w:r>
      <w:r>
        <w:rPr>
          <w:noProof/>
        </w:rPr>
        <w:fldChar w:fldCharType="separate"/>
      </w:r>
      <w:r w:rsidR="006F368D">
        <w:rPr>
          <w:noProof/>
        </w:rPr>
        <w:t>27</w:t>
      </w:r>
      <w:r>
        <w:rPr>
          <w:noProof/>
        </w:rPr>
        <w:fldChar w:fldCharType="end"/>
      </w:r>
    </w:p>
    <w:p w14:paraId="2807D9EF"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2: Gender identity and gender expression</w:t>
      </w:r>
      <w:r>
        <w:rPr>
          <w:noProof/>
        </w:rPr>
        <w:tab/>
      </w:r>
      <w:r>
        <w:rPr>
          <w:noProof/>
        </w:rPr>
        <w:fldChar w:fldCharType="begin"/>
      </w:r>
      <w:r>
        <w:rPr>
          <w:noProof/>
        </w:rPr>
        <w:instrText xml:space="preserve"> PAGEREF _Toc491332773 \h </w:instrText>
      </w:r>
      <w:r>
        <w:rPr>
          <w:noProof/>
        </w:rPr>
      </w:r>
      <w:r>
        <w:rPr>
          <w:noProof/>
        </w:rPr>
        <w:fldChar w:fldCharType="separate"/>
      </w:r>
      <w:r w:rsidR="006F368D">
        <w:rPr>
          <w:noProof/>
        </w:rPr>
        <w:t>30</w:t>
      </w:r>
      <w:r>
        <w:rPr>
          <w:noProof/>
        </w:rPr>
        <w:fldChar w:fldCharType="end"/>
      </w:r>
    </w:p>
    <w:p w14:paraId="50406849"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3: Faith, culture and family</w:t>
      </w:r>
      <w:r>
        <w:rPr>
          <w:noProof/>
        </w:rPr>
        <w:tab/>
      </w:r>
      <w:r>
        <w:rPr>
          <w:noProof/>
        </w:rPr>
        <w:fldChar w:fldCharType="begin"/>
      </w:r>
      <w:r>
        <w:rPr>
          <w:noProof/>
        </w:rPr>
        <w:instrText xml:space="preserve"> PAGEREF _Toc491332774 \h </w:instrText>
      </w:r>
      <w:r>
        <w:rPr>
          <w:noProof/>
        </w:rPr>
      </w:r>
      <w:r>
        <w:rPr>
          <w:noProof/>
        </w:rPr>
        <w:fldChar w:fldCharType="separate"/>
      </w:r>
      <w:r w:rsidR="006F368D">
        <w:rPr>
          <w:noProof/>
        </w:rPr>
        <w:t>31</w:t>
      </w:r>
      <w:r>
        <w:rPr>
          <w:noProof/>
        </w:rPr>
        <w:fldChar w:fldCharType="end"/>
      </w:r>
    </w:p>
    <w:p w14:paraId="51ED96C7"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4: Violence and extremism</w:t>
      </w:r>
      <w:r>
        <w:rPr>
          <w:noProof/>
        </w:rPr>
        <w:tab/>
      </w:r>
      <w:r>
        <w:rPr>
          <w:noProof/>
        </w:rPr>
        <w:fldChar w:fldCharType="begin"/>
      </w:r>
      <w:r>
        <w:rPr>
          <w:noProof/>
        </w:rPr>
        <w:instrText xml:space="preserve"> PAGEREF _Toc491332775 \h </w:instrText>
      </w:r>
      <w:r>
        <w:rPr>
          <w:noProof/>
        </w:rPr>
      </w:r>
      <w:r>
        <w:rPr>
          <w:noProof/>
        </w:rPr>
        <w:fldChar w:fldCharType="separate"/>
      </w:r>
      <w:r w:rsidR="006F368D">
        <w:rPr>
          <w:noProof/>
        </w:rPr>
        <w:t>34</w:t>
      </w:r>
      <w:r>
        <w:rPr>
          <w:noProof/>
        </w:rPr>
        <w:fldChar w:fldCharType="end"/>
      </w:r>
    </w:p>
    <w:p w14:paraId="22BE3D77"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5: Legal protection</w:t>
      </w:r>
      <w:r>
        <w:rPr>
          <w:noProof/>
        </w:rPr>
        <w:tab/>
      </w:r>
      <w:r>
        <w:rPr>
          <w:noProof/>
        </w:rPr>
        <w:fldChar w:fldCharType="begin"/>
      </w:r>
      <w:r>
        <w:rPr>
          <w:noProof/>
        </w:rPr>
        <w:instrText xml:space="preserve"> PAGEREF _Toc491332776 \h </w:instrText>
      </w:r>
      <w:r>
        <w:rPr>
          <w:noProof/>
        </w:rPr>
      </w:r>
      <w:r>
        <w:rPr>
          <w:noProof/>
        </w:rPr>
        <w:fldChar w:fldCharType="separate"/>
      </w:r>
      <w:r w:rsidR="006F368D">
        <w:rPr>
          <w:noProof/>
        </w:rPr>
        <w:t>36</w:t>
      </w:r>
      <w:r>
        <w:rPr>
          <w:noProof/>
        </w:rPr>
        <w:fldChar w:fldCharType="end"/>
      </w:r>
    </w:p>
    <w:p w14:paraId="7748CAA7"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6: Legal oppression</w:t>
      </w:r>
      <w:r>
        <w:rPr>
          <w:noProof/>
        </w:rPr>
        <w:tab/>
      </w:r>
      <w:r>
        <w:rPr>
          <w:noProof/>
        </w:rPr>
        <w:fldChar w:fldCharType="begin"/>
      </w:r>
      <w:r>
        <w:rPr>
          <w:noProof/>
        </w:rPr>
        <w:instrText xml:space="preserve"> PAGEREF _Toc491332777 \h </w:instrText>
      </w:r>
      <w:r>
        <w:rPr>
          <w:noProof/>
        </w:rPr>
      </w:r>
      <w:r>
        <w:rPr>
          <w:noProof/>
        </w:rPr>
        <w:fldChar w:fldCharType="separate"/>
      </w:r>
      <w:r w:rsidR="006F368D">
        <w:rPr>
          <w:noProof/>
        </w:rPr>
        <w:t>38</w:t>
      </w:r>
      <w:r>
        <w:rPr>
          <w:noProof/>
        </w:rPr>
        <w:fldChar w:fldCharType="end"/>
      </w:r>
    </w:p>
    <w:p w14:paraId="3E93735C"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7: Engagement with international human rights mechanisms</w:t>
      </w:r>
      <w:r>
        <w:rPr>
          <w:noProof/>
        </w:rPr>
        <w:tab/>
      </w:r>
      <w:r>
        <w:rPr>
          <w:noProof/>
        </w:rPr>
        <w:fldChar w:fldCharType="begin"/>
      </w:r>
      <w:r>
        <w:rPr>
          <w:noProof/>
        </w:rPr>
        <w:instrText xml:space="preserve"> PAGEREF _Toc491332778 \h </w:instrText>
      </w:r>
      <w:r>
        <w:rPr>
          <w:noProof/>
        </w:rPr>
      </w:r>
      <w:r>
        <w:rPr>
          <w:noProof/>
        </w:rPr>
        <w:fldChar w:fldCharType="separate"/>
      </w:r>
      <w:r w:rsidR="006F368D">
        <w:rPr>
          <w:noProof/>
        </w:rPr>
        <w:t>40</w:t>
      </w:r>
      <w:r>
        <w:rPr>
          <w:noProof/>
        </w:rPr>
        <w:fldChar w:fldCharType="end"/>
      </w:r>
    </w:p>
    <w:p w14:paraId="39BD72A7" w14:textId="77777777" w:rsidR="00DF500D" w:rsidRDefault="00DF500D" w:rsidP="00DF500D">
      <w:pPr>
        <w:pStyle w:val="TOC3"/>
        <w:spacing w:before="0"/>
        <w:rPr>
          <w:rFonts w:asciiTheme="minorHAnsi" w:eastAsiaTheme="minorEastAsia" w:hAnsiTheme="minorHAnsi" w:cstheme="minorBidi"/>
          <w:i w:val="0"/>
          <w:noProof/>
          <w:sz w:val="24"/>
          <w:szCs w:val="24"/>
          <w:lang w:val="en-GB" w:eastAsia="en-GB"/>
        </w:rPr>
      </w:pPr>
      <w:r>
        <w:rPr>
          <w:noProof/>
        </w:rPr>
        <w:t>Workstation 8: Sustainable development goals</w:t>
      </w:r>
      <w:r>
        <w:rPr>
          <w:noProof/>
        </w:rPr>
        <w:tab/>
      </w:r>
      <w:r>
        <w:rPr>
          <w:noProof/>
        </w:rPr>
        <w:fldChar w:fldCharType="begin"/>
      </w:r>
      <w:r>
        <w:rPr>
          <w:noProof/>
        </w:rPr>
        <w:instrText xml:space="preserve"> PAGEREF _Toc491332779 \h </w:instrText>
      </w:r>
      <w:r>
        <w:rPr>
          <w:noProof/>
        </w:rPr>
      </w:r>
      <w:r>
        <w:rPr>
          <w:noProof/>
        </w:rPr>
        <w:fldChar w:fldCharType="separate"/>
      </w:r>
      <w:r w:rsidR="006F368D">
        <w:rPr>
          <w:noProof/>
        </w:rPr>
        <w:t>41</w:t>
      </w:r>
      <w:r>
        <w:rPr>
          <w:noProof/>
        </w:rPr>
        <w:fldChar w:fldCharType="end"/>
      </w:r>
    </w:p>
    <w:p w14:paraId="33E44F87" w14:textId="77777777" w:rsidR="00DF500D" w:rsidRDefault="00DF500D">
      <w:pPr>
        <w:pStyle w:val="TOC2"/>
        <w:rPr>
          <w:rFonts w:asciiTheme="minorHAnsi" w:eastAsiaTheme="minorEastAsia" w:hAnsiTheme="minorHAnsi" w:cstheme="minorBidi"/>
          <w:noProof/>
          <w:sz w:val="24"/>
          <w:szCs w:val="24"/>
          <w:lang w:val="en-GB" w:eastAsia="en-GB"/>
        </w:rPr>
      </w:pPr>
      <w:r>
        <w:rPr>
          <w:noProof/>
        </w:rPr>
        <w:t>Session 7: Closing address and remarks</w:t>
      </w:r>
      <w:r>
        <w:rPr>
          <w:noProof/>
        </w:rPr>
        <w:tab/>
      </w:r>
      <w:r>
        <w:rPr>
          <w:noProof/>
        </w:rPr>
        <w:fldChar w:fldCharType="begin"/>
      </w:r>
      <w:r>
        <w:rPr>
          <w:noProof/>
        </w:rPr>
        <w:instrText xml:space="preserve"> PAGEREF _Toc491332780 \h </w:instrText>
      </w:r>
      <w:r>
        <w:rPr>
          <w:noProof/>
        </w:rPr>
      </w:r>
      <w:r>
        <w:rPr>
          <w:noProof/>
        </w:rPr>
        <w:fldChar w:fldCharType="separate"/>
      </w:r>
      <w:r w:rsidR="006F368D">
        <w:rPr>
          <w:noProof/>
        </w:rPr>
        <w:t>43</w:t>
      </w:r>
      <w:r>
        <w:rPr>
          <w:noProof/>
        </w:rPr>
        <w:fldChar w:fldCharType="end"/>
      </w:r>
    </w:p>
    <w:p w14:paraId="58CBC63B" w14:textId="77777777" w:rsidR="00DF500D" w:rsidRDefault="00DF500D">
      <w:pPr>
        <w:pStyle w:val="TOC1"/>
        <w:rPr>
          <w:rFonts w:asciiTheme="minorHAnsi" w:eastAsiaTheme="minorEastAsia" w:hAnsiTheme="minorHAnsi" w:cstheme="minorBidi"/>
          <w:b w:val="0"/>
          <w:color w:val="auto"/>
          <w:sz w:val="24"/>
          <w:szCs w:val="24"/>
          <w:lang w:val="en-GB" w:eastAsia="en-GB"/>
        </w:rPr>
      </w:pPr>
      <w:r>
        <w:t>6.</w:t>
      </w:r>
      <w:r>
        <w:rPr>
          <w:rFonts w:asciiTheme="minorHAnsi" w:eastAsiaTheme="minorEastAsia" w:hAnsiTheme="minorHAnsi" w:cstheme="minorBidi"/>
          <w:b w:val="0"/>
          <w:color w:val="auto"/>
          <w:sz w:val="24"/>
          <w:szCs w:val="24"/>
          <w:lang w:val="en-GB" w:eastAsia="en-GB"/>
        </w:rPr>
        <w:tab/>
      </w:r>
      <w:r>
        <w:t>Conference evaluation</w:t>
      </w:r>
      <w:r>
        <w:tab/>
      </w:r>
      <w:r>
        <w:fldChar w:fldCharType="begin"/>
      </w:r>
      <w:r>
        <w:instrText xml:space="preserve"> PAGEREF _Toc491332781 \h </w:instrText>
      </w:r>
      <w:r>
        <w:fldChar w:fldCharType="separate"/>
      </w:r>
      <w:r w:rsidR="006F368D">
        <w:t>48</w:t>
      </w:r>
      <w:r>
        <w:fldChar w:fldCharType="end"/>
      </w:r>
    </w:p>
    <w:p w14:paraId="1C80BD9F" w14:textId="77777777" w:rsidR="00DF500D" w:rsidRDefault="00DF500D" w:rsidP="009207BB">
      <w:pPr>
        <w:pStyle w:val="TOC1"/>
        <w:keepNext/>
        <w:rPr>
          <w:rFonts w:asciiTheme="minorHAnsi" w:eastAsiaTheme="minorEastAsia" w:hAnsiTheme="minorHAnsi" w:cstheme="minorBidi"/>
          <w:b w:val="0"/>
          <w:color w:val="auto"/>
          <w:sz w:val="24"/>
          <w:szCs w:val="24"/>
          <w:lang w:val="en-GB" w:eastAsia="en-GB"/>
        </w:rPr>
      </w:pPr>
      <w:r>
        <w:lastRenderedPageBreak/>
        <w:t>7.</w:t>
      </w:r>
      <w:r>
        <w:rPr>
          <w:rFonts w:asciiTheme="minorHAnsi" w:eastAsiaTheme="minorEastAsia" w:hAnsiTheme="minorHAnsi" w:cstheme="minorBidi"/>
          <w:b w:val="0"/>
          <w:color w:val="auto"/>
          <w:sz w:val="24"/>
          <w:szCs w:val="24"/>
          <w:lang w:val="en-GB" w:eastAsia="en-GB"/>
        </w:rPr>
        <w:tab/>
      </w:r>
      <w:r>
        <w:t>Conference summary and further action areas</w:t>
      </w:r>
      <w:r>
        <w:tab/>
      </w:r>
      <w:r>
        <w:fldChar w:fldCharType="begin"/>
      </w:r>
      <w:r>
        <w:instrText xml:space="preserve"> PAGEREF _Toc491332782 \h </w:instrText>
      </w:r>
      <w:r>
        <w:fldChar w:fldCharType="separate"/>
      </w:r>
      <w:r w:rsidR="006F368D">
        <w:t>49</w:t>
      </w:r>
      <w:r>
        <w:fldChar w:fldCharType="end"/>
      </w:r>
    </w:p>
    <w:p w14:paraId="11F73DBA"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7.1.</w:t>
      </w:r>
      <w:r>
        <w:rPr>
          <w:rFonts w:asciiTheme="minorHAnsi" w:eastAsiaTheme="minorEastAsia" w:hAnsiTheme="minorHAnsi" w:cstheme="minorBidi"/>
          <w:noProof/>
          <w:sz w:val="24"/>
          <w:szCs w:val="24"/>
          <w:lang w:val="en-GB" w:eastAsia="en-GB"/>
        </w:rPr>
        <w:tab/>
      </w:r>
      <w:r>
        <w:rPr>
          <w:noProof/>
        </w:rPr>
        <w:t>Use of the Yogyakarta Principles and other measures</w:t>
      </w:r>
      <w:r>
        <w:rPr>
          <w:noProof/>
        </w:rPr>
        <w:tab/>
      </w:r>
      <w:r>
        <w:rPr>
          <w:noProof/>
        </w:rPr>
        <w:fldChar w:fldCharType="begin"/>
      </w:r>
      <w:r>
        <w:rPr>
          <w:noProof/>
        </w:rPr>
        <w:instrText xml:space="preserve"> PAGEREF _Toc491332783 \h </w:instrText>
      </w:r>
      <w:r>
        <w:rPr>
          <w:noProof/>
        </w:rPr>
      </w:r>
      <w:r>
        <w:rPr>
          <w:noProof/>
        </w:rPr>
        <w:fldChar w:fldCharType="separate"/>
      </w:r>
      <w:r w:rsidR="006F368D">
        <w:rPr>
          <w:noProof/>
        </w:rPr>
        <w:t>49</w:t>
      </w:r>
      <w:r>
        <w:rPr>
          <w:noProof/>
        </w:rPr>
        <w:fldChar w:fldCharType="end"/>
      </w:r>
    </w:p>
    <w:p w14:paraId="5507CE8D" w14:textId="7B96EF65"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7.2.</w:t>
      </w:r>
      <w:r>
        <w:rPr>
          <w:rFonts w:asciiTheme="minorHAnsi" w:eastAsiaTheme="minorEastAsia" w:hAnsiTheme="minorHAnsi" w:cstheme="minorBidi"/>
          <w:noProof/>
          <w:sz w:val="24"/>
          <w:szCs w:val="24"/>
          <w:lang w:val="en-GB" w:eastAsia="en-GB"/>
        </w:rPr>
        <w:tab/>
      </w:r>
      <w:r>
        <w:rPr>
          <w:noProof/>
        </w:rPr>
        <w:t>Future development of international human rights law and practice in relation</w:t>
      </w:r>
      <w:r>
        <w:rPr>
          <w:noProof/>
        </w:rPr>
        <w:br/>
        <w:t>to the Yogyakarta Principles</w:t>
      </w:r>
      <w:r>
        <w:rPr>
          <w:noProof/>
        </w:rPr>
        <w:tab/>
      </w:r>
      <w:r>
        <w:rPr>
          <w:noProof/>
        </w:rPr>
        <w:fldChar w:fldCharType="begin"/>
      </w:r>
      <w:r>
        <w:rPr>
          <w:noProof/>
        </w:rPr>
        <w:instrText xml:space="preserve"> PAGEREF _Toc491332784 \h </w:instrText>
      </w:r>
      <w:r>
        <w:rPr>
          <w:noProof/>
        </w:rPr>
      </w:r>
      <w:r>
        <w:rPr>
          <w:noProof/>
        </w:rPr>
        <w:fldChar w:fldCharType="separate"/>
      </w:r>
      <w:r w:rsidR="006F368D">
        <w:rPr>
          <w:noProof/>
        </w:rPr>
        <w:t>50</w:t>
      </w:r>
      <w:r>
        <w:rPr>
          <w:noProof/>
        </w:rPr>
        <w:fldChar w:fldCharType="end"/>
      </w:r>
    </w:p>
    <w:p w14:paraId="278BEA17"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7.3.</w:t>
      </w:r>
      <w:r>
        <w:rPr>
          <w:rFonts w:asciiTheme="minorHAnsi" w:eastAsiaTheme="minorEastAsia" w:hAnsiTheme="minorHAnsi" w:cstheme="minorBidi"/>
          <w:noProof/>
          <w:sz w:val="24"/>
          <w:szCs w:val="24"/>
          <w:lang w:val="en-GB" w:eastAsia="en-GB"/>
        </w:rPr>
        <w:tab/>
      </w:r>
      <w:r>
        <w:rPr>
          <w:noProof/>
        </w:rPr>
        <w:t>Areas for future development of the Yogyakarta Principles</w:t>
      </w:r>
      <w:r>
        <w:rPr>
          <w:noProof/>
        </w:rPr>
        <w:tab/>
      </w:r>
      <w:r>
        <w:rPr>
          <w:noProof/>
        </w:rPr>
        <w:fldChar w:fldCharType="begin"/>
      </w:r>
      <w:r>
        <w:rPr>
          <w:noProof/>
        </w:rPr>
        <w:instrText xml:space="preserve"> PAGEREF _Toc491332785 \h </w:instrText>
      </w:r>
      <w:r>
        <w:rPr>
          <w:noProof/>
        </w:rPr>
      </w:r>
      <w:r>
        <w:rPr>
          <w:noProof/>
        </w:rPr>
        <w:fldChar w:fldCharType="separate"/>
      </w:r>
      <w:r w:rsidR="006F368D">
        <w:rPr>
          <w:noProof/>
        </w:rPr>
        <w:t>51</w:t>
      </w:r>
      <w:r>
        <w:rPr>
          <w:noProof/>
        </w:rPr>
        <w:fldChar w:fldCharType="end"/>
      </w:r>
    </w:p>
    <w:p w14:paraId="3DA0394A" w14:textId="77777777" w:rsidR="00DF500D" w:rsidRDefault="00DF500D">
      <w:pPr>
        <w:pStyle w:val="TOC2"/>
        <w:tabs>
          <w:tab w:val="left" w:pos="1200"/>
        </w:tabs>
        <w:rPr>
          <w:rFonts w:asciiTheme="minorHAnsi" w:eastAsiaTheme="minorEastAsia" w:hAnsiTheme="minorHAnsi" w:cstheme="minorBidi"/>
          <w:noProof/>
          <w:sz w:val="24"/>
          <w:szCs w:val="24"/>
          <w:lang w:val="en-GB" w:eastAsia="en-GB"/>
        </w:rPr>
      </w:pPr>
      <w:r>
        <w:rPr>
          <w:noProof/>
        </w:rPr>
        <w:t>7.4.</w:t>
      </w:r>
      <w:r>
        <w:rPr>
          <w:rFonts w:asciiTheme="minorHAnsi" w:eastAsiaTheme="minorEastAsia" w:hAnsiTheme="minorHAnsi" w:cstheme="minorBidi"/>
          <w:noProof/>
          <w:sz w:val="24"/>
          <w:szCs w:val="24"/>
          <w:lang w:val="en-GB" w:eastAsia="en-GB"/>
        </w:rPr>
        <w:tab/>
      </w:r>
      <w:r>
        <w:rPr>
          <w:noProof/>
        </w:rPr>
        <w:t>Areas for support and coordination</w:t>
      </w:r>
      <w:r>
        <w:rPr>
          <w:noProof/>
        </w:rPr>
        <w:tab/>
      </w:r>
      <w:r>
        <w:rPr>
          <w:noProof/>
        </w:rPr>
        <w:fldChar w:fldCharType="begin"/>
      </w:r>
      <w:r>
        <w:rPr>
          <w:noProof/>
        </w:rPr>
        <w:instrText xml:space="preserve"> PAGEREF _Toc491332786 \h </w:instrText>
      </w:r>
      <w:r>
        <w:rPr>
          <w:noProof/>
        </w:rPr>
      </w:r>
      <w:r>
        <w:rPr>
          <w:noProof/>
        </w:rPr>
        <w:fldChar w:fldCharType="separate"/>
      </w:r>
      <w:r w:rsidR="006F368D">
        <w:rPr>
          <w:noProof/>
        </w:rPr>
        <w:t>54</w:t>
      </w:r>
      <w:r>
        <w:rPr>
          <w:noProof/>
        </w:rPr>
        <w:fldChar w:fldCharType="end"/>
      </w:r>
    </w:p>
    <w:p w14:paraId="459F8B91" w14:textId="4736D9ED" w:rsidR="00DF500D" w:rsidRPr="00DF500D" w:rsidRDefault="00DF500D" w:rsidP="009520D3">
      <w:pPr>
        <w:pStyle w:val="TOC0"/>
        <w:spacing w:after="120"/>
        <w:rPr>
          <w:rFonts w:asciiTheme="minorHAnsi" w:eastAsiaTheme="minorEastAsia" w:hAnsiTheme="minorHAnsi" w:cstheme="minorBidi"/>
          <w:b/>
          <w:sz w:val="24"/>
          <w:lang w:val="en-GB" w:eastAsia="en-GB"/>
        </w:rPr>
      </w:pPr>
      <w:r>
        <w:t>Appendix 1: Workshop agenda</w:t>
      </w:r>
      <w:r>
        <w:tab/>
      </w:r>
      <w:r>
        <w:fldChar w:fldCharType="begin"/>
      </w:r>
      <w:r>
        <w:instrText xml:space="preserve"> PAGEREF _Toc491332787 \h </w:instrText>
      </w:r>
      <w:r>
        <w:fldChar w:fldCharType="separate"/>
      </w:r>
      <w:r w:rsidR="006F368D">
        <w:t>56</w:t>
      </w:r>
      <w:r>
        <w:fldChar w:fldCharType="end"/>
      </w:r>
    </w:p>
    <w:p w14:paraId="14BA2666" w14:textId="77777777" w:rsidR="00DF500D" w:rsidRPr="00DF500D" w:rsidRDefault="00DF500D" w:rsidP="009520D3">
      <w:pPr>
        <w:pStyle w:val="TOC1"/>
        <w:spacing w:before="120"/>
        <w:rPr>
          <w:rFonts w:asciiTheme="minorHAnsi" w:eastAsiaTheme="minorEastAsia" w:hAnsiTheme="minorHAnsi" w:cstheme="minorBidi"/>
          <w:b w:val="0"/>
          <w:color w:val="000000" w:themeColor="text1"/>
          <w:sz w:val="24"/>
          <w:szCs w:val="24"/>
          <w:lang w:val="en-GB" w:eastAsia="en-GB"/>
        </w:rPr>
      </w:pPr>
      <w:r w:rsidRPr="00DF500D">
        <w:rPr>
          <w:b w:val="0"/>
          <w:color w:val="000000" w:themeColor="text1"/>
        </w:rPr>
        <w:t>Appendix 2: Participants (organisations)</w:t>
      </w:r>
      <w:r w:rsidRPr="00DF500D">
        <w:rPr>
          <w:b w:val="0"/>
          <w:color w:val="000000" w:themeColor="text1"/>
        </w:rPr>
        <w:tab/>
      </w:r>
      <w:r w:rsidRPr="00DF500D">
        <w:rPr>
          <w:b w:val="0"/>
          <w:color w:val="000000" w:themeColor="text1"/>
        </w:rPr>
        <w:fldChar w:fldCharType="begin"/>
      </w:r>
      <w:r w:rsidRPr="00DF500D">
        <w:rPr>
          <w:b w:val="0"/>
          <w:color w:val="000000" w:themeColor="text1"/>
        </w:rPr>
        <w:instrText xml:space="preserve"> PAGEREF _Toc491332791 \h </w:instrText>
      </w:r>
      <w:r w:rsidRPr="00DF500D">
        <w:rPr>
          <w:b w:val="0"/>
          <w:color w:val="000000" w:themeColor="text1"/>
        </w:rPr>
      </w:r>
      <w:r w:rsidRPr="00DF500D">
        <w:rPr>
          <w:b w:val="0"/>
          <w:color w:val="000000" w:themeColor="text1"/>
        </w:rPr>
        <w:fldChar w:fldCharType="separate"/>
      </w:r>
      <w:r w:rsidR="006F368D">
        <w:rPr>
          <w:b w:val="0"/>
          <w:color w:val="000000" w:themeColor="text1"/>
        </w:rPr>
        <w:t>60</w:t>
      </w:r>
      <w:r w:rsidRPr="00DF500D">
        <w:rPr>
          <w:b w:val="0"/>
          <w:color w:val="000000" w:themeColor="text1"/>
        </w:rPr>
        <w:fldChar w:fldCharType="end"/>
      </w:r>
    </w:p>
    <w:p w14:paraId="445FE009" w14:textId="77777777" w:rsidR="00DF500D" w:rsidRPr="00DF500D" w:rsidRDefault="00DF500D" w:rsidP="009520D3">
      <w:pPr>
        <w:pStyle w:val="TOC1"/>
        <w:spacing w:before="120"/>
        <w:rPr>
          <w:rFonts w:asciiTheme="minorHAnsi" w:eastAsiaTheme="minorEastAsia" w:hAnsiTheme="minorHAnsi" w:cstheme="minorBidi"/>
          <w:b w:val="0"/>
          <w:color w:val="000000" w:themeColor="text1"/>
          <w:sz w:val="24"/>
          <w:szCs w:val="24"/>
          <w:lang w:val="en-GB" w:eastAsia="en-GB"/>
        </w:rPr>
      </w:pPr>
      <w:r w:rsidRPr="00DF500D">
        <w:rPr>
          <w:b w:val="0"/>
          <w:color w:val="000000" w:themeColor="text1"/>
        </w:rPr>
        <w:t>Appendix 3: Biography of speakers</w:t>
      </w:r>
      <w:r w:rsidRPr="00DF500D">
        <w:rPr>
          <w:b w:val="0"/>
          <w:color w:val="000000" w:themeColor="text1"/>
        </w:rPr>
        <w:tab/>
      </w:r>
      <w:r w:rsidRPr="00DF500D">
        <w:rPr>
          <w:b w:val="0"/>
          <w:color w:val="000000" w:themeColor="text1"/>
        </w:rPr>
        <w:fldChar w:fldCharType="begin"/>
      </w:r>
      <w:r w:rsidRPr="00DF500D">
        <w:rPr>
          <w:b w:val="0"/>
          <w:color w:val="000000" w:themeColor="text1"/>
        </w:rPr>
        <w:instrText xml:space="preserve"> PAGEREF _Toc491332792 \h </w:instrText>
      </w:r>
      <w:r w:rsidRPr="00DF500D">
        <w:rPr>
          <w:b w:val="0"/>
          <w:color w:val="000000" w:themeColor="text1"/>
        </w:rPr>
      </w:r>
      <w:r w:rsidRPr="00DF500D">
        <w:rPr>
          <w:b w:val="0"/>
          <w:color w:val="000000" w:themeColor="text1"/>
        </w:rPr>
        <w:fldChar w:fldCharType="separate"/>
      </w:r>
      <w:r w:rsidR="006F368D">
        <w:rPr>
          <w:b w:val="0"/>
          <w:color w:val="000000" w:themeColor="text1"/>
        </w:rPr>
        <w:t>62</w:t>
      </w:r>
      <w:r w:rsidRPr="00DF500D">
        <w:rPr>
          <w:b w:val="0"/>
          <w:color w:val="000000" w:themeColor="text1"/>
        </w:rPr>
        <w:fldChar w:fldCharType="end"/>
      </w:r>
    </w:p>
    <w:p w14:paraId="346B5892" w14:textId="57E7A59F" w:rsidR="008314FD" w:rsidRDefault="000670EF" w:rsidP="00EC0DB2">
      <w:pPr>
        <w:pStyle w:val="TOC1"/>
      </w:pPr>
      <w:r>
        <w:fldChar w:fldCharType="end"/>
      </w:r>
    </w:p>
    <w:p w14:paraId="181024D9" w14:textId="77777777" w:rsidR="008314FD" w:rsidRDefault="008314FD" w:rsidP="008314FD">
      <w:r>
        <w:br w:type="page"/>
      </w:r>
    </w:p>
    <w:p w14:paraId="7236072F" w14:textId="3944D0DE" w:rsidR="0075434A" w:rsidRPr="00B068A2" w:rsidRDefault="00031E53" w:rsidP="00BA479C">
      <w:pPr>
        <w:pStyle w:val="Heading1"/>
      </w:pPr>
      <w:bookmarkStart w:id="21" w:name="_Toc491332753"/>
      <w:bookmarkStart w:id="22" w:name="_Toc278455635"/>
      <w:bookmarkStart w:id="23" w:name="_Toc363737866"/>
      <w:r>
        <w:lastRenderedPageBreak/>
        <w:t>Abbreviations</w:t>
      </w:r>
      <w:bookmarkEnd w:id="21"/>
    </w:p>
    <w:p w14:paraId="302E1ADB" w14:textId="5EFEC63D" w:rsidR="0075434A" w:rsidRPr="00B068A2" w:rsidRDefault="0075434A" w:rsidP="00BA479C">
      <w:pPr>
        <w:ind w:left="2552" w:hanging="2552"/>
      </w:pPr>
      <w:r w:rsidRPr="00BA479C">
        <w:rPr>
          <w:b/>
        </w:rPr>
        <w:t>ACJ</w:t>
      </w:r>
      <w:r w:rsidRPr="00B068A2">
        <w:tab/>
        <w:t>Advisory Council of Jurists of the APF</w:t>
      </w:r>
    </w:p>
    <w:p w14:paraId="73C916BA" w14:textId="22483BE2" w:rsidR="0075434A" w:rsidRPr="00B068A2" w:rsidRDefault="00BA479C" w:rsidP="00BA479C">
      <w:pPr>
        <w:ind w:left="2552" w:hanging="2552"/>
      </w:pPr>
      <w:r w:rsidRPr="00BA479C">
        <w:rPr>
          <w:b/>
        </w:rPr>
        <w:t>AICHR</w:t>
      </w:r>
      <w:r w:rsidR="0075434A" w:rsidRPr="00B068A2">
        <w:tab/>
        <w:t>ASEAN Intergovernmental Commission on Human Rights</w:t>
      </w:r>
    </w:p>
    <w:p w14:paraId="0479CF3E" w14:textId="2B7C558A" w:rsidR="0075434A" w:rsidRPr="00B068A2" w:rsidRDefault="0075434A" w:rsidP="00BA479C">
      <w:pPr>
        <w:ind w:left="2552" w:hanging="2552"/>
      </w:pPr>
      <w:r w:rsidRPr="00BA479C">
        <w:rPr>
          <w:b/>
        </w:rPr>
        <w:t>APF</w:t>
      </w:r>
      <w:r w:rsidRPr="00B068A2">
        <w:tab/>
        <w:t xml:space="preserve">Asia Pacific Forum of National Human Rights Institutions </w:t>
      </w:r>
    </w:p>
    <w:p w14:paraId="50101FC4" w14:textId="5BEA49A7" w:rsidR="0075434A" w:rsidRPr="00B068A2" w:rsidRDefault="0075434A" w:rsidP="00BA479C">
      <w:pPr>
        <w:ind w:left="2552" w:hanging="2552"/>
      </w:pPr>
      <w:r w:rsidRPr="00BA479C">
        <w:rPr>
          <w:b/>
        </w:rPr>
        <w:t>ASEAN</w:t>
      </w:r>
      <w:r w:rsidRPr="00B068A2">
        <w:tab/>
        <w:t xml:space="preserve">Association of South East Asian Nations </w:t>
      </w:r>
    </w:p>
    <w:p w14:paraId="159F7C6B" w14:textId="77777777" w:rsidR="0075434A" w:rsidRDefault="0075434A" w:rsidP="00BA479C">
      <w:pPr>
        <w:ind w:left="2552" w:hanging="2552"/>
      </w:pPr>
      <w:r w:rsidRPr="00BA479C">
        <w:rPr>
          <w:b/>
        </w:rPr>
        <w:t>CBO</w:t>
      </w:r>
      <w:r>
        <w:tab/>
        <w:t xml:space="preserve">Community Based Organisation </w:t>
      </w:r>
    </w:p>
    <w:p w14:paraId="2274E306" w14:textId="77777777" w:rsidR="0075434A" w:rsidRPr="00B068A2" w:rsidRDefault="0075434A" w:rsidP="00BA479C">
      <w:pPr>
        <w:ind w:left="2552" w:hanging="2552"/>
      </w:pPr>
      <w:r w:rsidRPr="00BA479C">
        <w:rPr>
          <w:b/>
        </w:rPr>
        <w:t>CEDAW</w:t>
      </w:r>
      <w:r w:rsidRPr="00B068A2">
        <w:tab/>
        <w:t xml:space="preserve">Convention on the Elimination of all Forms of Discrimination Against Women </w:t>
      </w:r>
    </w:p>
    <w:p w14:paraId="793621F6" w14:textId="302EE715" w:rsidR="0075434A" w:rsidRDefault="0075434A" w:rsidP="00BA479C">
      <w:pPr>
        <w:ind w:left="2552" w:hanging="2552"/>
      </w:pPr>
      <w:r w:rsidRPr="00BA479C">
        <w:rPr>
          <w:b/>
        </w:rPr>
        <w:t>CSO</w:t>
      </w:r>
      <w:r>
        <w:tab/>
        <w:t>Civil Society Organisation</w:t>
      </w:r>
    </w:p>
    <w:p w14:paraId="2CC1D0D5" w14:textId="1263DBB6" w:rsidR="0075434A" w:rsidRPr="00B068A2" w:rsidRDefault="0075434A" w:rsidP="00BA479C">
      <w:pPr>
        <w:ind w:left="2552" w:hanging="2552"/>
      </w:pPr>
      <w:r w:rsidRPr="00BA479C">
        <w:rPr>
          <w:b/>
        </w:rPr>
        <w:t>ESCAP</w:t>
      </w:r>
      <w:r w:rsidRPr="00B068A2">
        <w:tab/>
        <w:t>Economic and Social Commission for Asia and the Pacific</w:t>
      </w:r>
    </w:p>
    <w:p w14:paraId="2275359A" w14:textId="1BF088BF" w:rsidR="0075434A" w:rsidRPr="00B068A2" w:rsidRDefault="0075434A" w:rsidP="00BA479C">
      <w:pPr>
        <w:ind w:left="2552" w:hanging="2552"/>
      </w:pPr>
      <w:r w:rsidRPr="00BA479C">
        <w:rPr>
          <w:b/>
        </w:rPr>
        <w:t>JAMAKON</w:t>
      </w:r>
      <w:r w:rsidRPr="00B068A2">
        <w:tab/>
        <w:t>National Human Rights Commission of Bangladesh</w:t>
      </w:r>
    </w:p>
    <w:p w14:paraId="05960D98" w14:textId="75BAC0A1" w:rsidR="0075434A" w:rsidRPr="00B068A2" w:rsidRDefault="0075434A" w:rsidP="00BA479C">
      <w:pPr>
        <w:ind w:left="2552" w:hanging="2552"/>
      </w:pPr>
      <w:proofErr w:type="spellStart"/>
      <w:r w:rsidRPr="00BA479C">
        <w:rPr>
          <w:b/>
        </w:rPr>
        <w:t>Komnas</w:t>
      </w:r>
      <w:proofErr w:type="spellEnd"/>
      <w:r w:rsidRPr="00BA479C">
        <w:rPr>
          <w:b/>
        </w:rPr>
        <w:t xml:space="preserve"> HAM</w:t>
      </w:r>
      <w:r w:rsidRPr="00B068A2">
        <w:tab/>
        <w:t>Human Rights Commission, Indonesia</w:t>
      </w:r>
    </w:p>
    <w:p w14:paraId="68943FFB" w14:textId="0877470E" w:rsidR="0075434A" w:rsidRPr="00B068A2" w:rsidRDefault="0075434A" w:rsidP="00BA479C">
      <w:pPr>
        <w:ind w:left="2552" w:hanging="2552"/>
      </w:pPr>
      <w:r w:rsidRPr="00BA479C">
        <w:rPr>
          <w:b/>
        </w:rPr>
        <w:t>LGBTI</w:t>
      </w:r>
      <w:r w:rsidRPr="00B068A2">
        <w:tab/>
        <w:t>Lesbian, gay, bisexual, transgender and intersex</w:t>
      </w:r>
    </w:p>
    <w:p w14:paraId="1A677021" w14:textId="4DBCF96D" w:rsidR="0075434A" w:rsidRPr="00B068A2" w:rsidRDefault="0075434A" w:rsidP="00BA479C">
      <w:pPr>
        <w:ind w:left="2552" w:hanging="2552"/>
      </w:pPr>
      <w:r w:rsidRPr="00BA479C">
        <w:rPr>
          <w:b/>
        </w:rPr>
        <w:t>NHRI</w:t>
      </w:r>
      <w:r w:rsidRPr="00B068A2">
        <w:tab/>
        <w:t>National Human Rights Institution</w:t>
      </w:r>
    </w:p>
    <w:p w14:paraId="0D4563B4" w14:textId="65B9AF99" w:rsidR="0075434A" w:rsidRPr="00B068A2" w:rsidRDefault="0075434A" w:rsidP="00BA479C">
      <w:pPr>
        <w:ind w:left="2552" w:hanging="2552"/>
      </w:pPr>
      <w:r w:rsidRPr="00BA479C">
        <w:rPr>
          <w:b/>
        </w:rPr>
        <w:t>SAARC</w:t>
      </w:r>
      <w:r w:rsidRPr="00B068A2">
        <w:tab/>
        <w:t>South Asian Association for Regional Cooperation</w:t>
      </w:r>
    </w:p>
    <w:p w14:paraId="3A0EAF55" w14:textId="1F927B18" w:rsidR="0075434A" w:rsidRPr="00B068A2" w:rsidRDefault="0075434A" w:rsidP="00BA479C">
      <w:pPr>
        <w:ind w:left="2552" w:hanging="2552"/>
      </w:pPr>
      <w:r w:rsidRPr="00BA479C">
        <w:rPr>
          <w:b/>
        </w:rPr>
        <w:t>SAARCLAW</w:t>
      </w:r>
      <w:r w:rsidRPr="00B068A2">
        <w:tab/>
        <w:t>South Asian Association for Regional Cooperation in Law</w:t>
      </w:r>
    </w:p>
    <w:p w14:paraId="60691988" w14:textId="0EFFA001" w:rsidR="0075434A" w:rsidRPr="00B068A2" w:rsidRDefault="0075434A" w:rsidP="00BA479C">
      <w:pPr>
        <w:ind w:left="2552" w:hanging="2552"/>
      </w:pPr>
      <w:r w:rsidRPr="00BA479C">
        <w:rPr>
          <w:b/>
        </w:rPr>
        <w:t>SOGI</w:t>
      </w:r>
      <w:r w:rsidRPr="00B068A2">
        <w:tab/>
        <w:t xml:space="preserve">Sexual </w:t>
      </w:r>
      <w:r>
        <w:t>O</w:t>
      </w:r>
      <w:r w:rsidRPr="00B068A2">
        <w:t xml:space="preserve">rientation and </w:t>
      </w:r>
      <w:r>
        <w:t>Gender I</w:t>
      </w:r>
      <w:r w:rsidRPr="00B068A2">
        <w:t>dentity</w:t>
      </w:r>
    </w:p>
    <w:p w14:paraId="3B056573" w14:textId="36A061C1" w:rsidR="0075434A" w:rsidRPr="00B068A2" w:rsidRDefault="0075434A" w:rsidP="00BA479C">
      <w:pPr>
        <w:ind w:left="2552" w:hanging="2552"/>
      </w:pPr>
      <w:r w:rsidRPr="00BA479C">
        <w:rPr>
          <w:b/>
        </w:rPr>
        <w:t>SOGIE</w:t>
      </w:r>
      <w:r w:rsidRPr="00B068A2">
        <w:tab/>
        <w:t xml:space="preserve">Sexual </w:t>
      </w:r>
      <w:r>
        <w:t>O</w:t>
      </w:r>
      <w:r w:rsidRPr="00B068A2">
        <w:t xml:space="preserve">rientation, </w:t>
      </w:r>
      <w:r>
        <w:t>G</w:t>
      </w:r>
      <w:r w:rsidRPr="00B068A2">
        <w:t xml:space="preserve">ender </w:t>
      </w:r>
      <w:r>
        <w:t>I</w:t>
      </w:r>
      <w:r w:rsidRPr="00B068A2">
        <w:t xml:space="preserve">dentity </w:t>
      </w:r>
      <w:r>
        <w:t>E</w:t>
      </w:r>
      <w:r w:rsidRPr="00B068A2">
        <w:t>xpression</w:t>
      </w:r>
    </w:p>
    <w:p w14:paraId="5911CDF5" w14:textId="48A3BACE" w:rsidR="0075434A" w:rsidRPr="00B068A2" w:rsidRDefault="0075434A" w:rsidP="00BA479C">
      <w:pPr>
        <w:ind w:left="2552" w:hanging="2552"/>
      </w:pPr>
      <w:r w:rsidRPr="00BA479C">
        <w:rPr>
          <w:b/>
        </w:rPr>
        <w:t>SOGIESC</w:t>
      </w:r>
      <w:r>
        <w:tab/>
      </w:r>
      <w:r w:rsidRPr="00B068A2">
        <w:t xml:space="preserve">Sexual </w:t>
      </w:r>
      <w:r>
        <w:t>O</w:t>
      </w:r>
      <w:r w:rsidRPr="00B068A2">
        <w:t xml:space="preserve">rientation, </w:t>
      </w:r>
      <w:r>
        <w:t>G</w:t>
      </w:r>
      <w:r w:rsidRPr="00B068A2">
        <w:t xml:space="preserve">ender </w:t>
      </w:r>
      <w:r>
        <w:t>Identity and Expression,</w:t>
      </w:r>
      <w:r w:rsidR="00031E53">
        <w:br/>
      </w:r>
      <w:r>
        <w:t>and Sex Characteristics</w:t>
      </w:r>
    </w:p>
    <w:p w14:paraId="1B172066" w14:textId="41D2EE46" w:rsidR="0075434A" w:rsidRPr="00B068A2" w:rsidRDefault="0075434A" w:rsidP="00BA479C">
      <w:pPr>
        <w:ind w:left="2552" w:hanging="2552"/>
      </w:pPr>
      <w:r w:rsidRPr="00BA479C">
        <w:rPr>
          <w:b/>
        </w:rPr>
        <w:t>UNAIDS</w:t>
      </w:r>
      <w:r w:rsidRPr="00B068A2">
        <w:tab/>
        <w:t>Joint United Nations Programme on HIV/AIDS</w:t>
      </w:r>
    </w:p>
    <w:p w14:paraId="6142AE36" w14:textId="61D1D8A1" w:rsidR="0075434A" w:rsidRPr="00B068A2" w:rsidRDefault="0075434A" w:rsidP="00BA479C">
      <w:pPr>
        <w:ind w:left="2552" w:hanging="2552"/>
      </w:pPr>
      <w:r w:rsidRPr="00BA479C">
        <w:rPr>
          <w:b/>
        </w:rPr>
        <w:t>UNDP</w:t>
      </w:r>
      <w:r w:rsidRPr="00B068A2">
        <w:tab/>
        <w:t>United Nations Development Programme</w:t>
      </w:r>
    </w:p>
    <w:p w14:paraId="5622408E" w14:textId="56E1B20F" w:rsidR="0075434A" w:rsidRPr="00B068A2" w:rsidRDefault="0075434A" w:rsidP="00BA479C">
      <w:pPr>
        <w:ind w:left="2552" w:hanging="2552"/>
      </w:pPr>
      <w:r w:rsidRPr="00BA479C">
        <w:rPr>
          <w:b/>
        </w:rPr>
        <w:t>UPR</w:t>
      </w:r>
      <w:r w:rsidRPr="00B068A2">
        <w:tab/>
        <w:t>Universal Periodic Review</w:t>
      </w:r>
    </w:p>
    <w:p w14:paraId="7B1379D9" w14:textId="77777777" w:rsidR="0075434A" w:rsidRPr="00B068A2" w:rsidRDefault="0075434A" w:rsidP="00BA479C">
      <w:pPr>
        <w:ind w:left="2552" w:hanging="2552"/>
      </w:pPr>
      <w:r w:rsidRPr="00BA479C">
        <w:rPr>
          <w:b/>
        </w:rPr>
        <w:t>Yogyakarta Principles</w:t>
      </w:r>
      <w:r w:rsidRPr="00B068A2">
        <w:tab/>
      </w:r>
      <w:r w:rsidRPr="00B068A2">
        <w:rPr>
          <w:bCs/>
          <w:szCs w:val="26"/>
        </w:rPr>
        <w:t>Yogyakarta Principles</w:t>
      </w:r>
      <w:r w:rsidRPr="00B068A2">
        <w:rPr>
          <w:szCs w:val="26"/>
        </w:rPr>
        <w:t xml:space="preserve"> on the Application of International Human Rights Law in relation to Sexual Orientation and Gender Identity (2006)</w:t>
      </w:r>
    </w:p>
    <w:p w14:paraId="35367A1C" w14:textId="77777777" w:rsidR="0075434A" w:rsidRDefault="0075434A" w:rsidP="0075434A">
      <w:pPr>
        <w:rPr>
          <w:rFonts w:asciiTheme="majorBidi" w:hAnsiTheme="majorBidi" w:cstheme="majorBidi"/>
        </w:rPr>
      </w:pPr>
      <w:r w:rsidRPr="00B068A2">
        <w:rPr>
          <w:rFonts w:asciiTheme="majorBidi" w:hAnsiTheme="majorBidi" w:cstheme="majorBidi"/>
        </w:rPr>
        <w:br w:type="page"/>
      </w:r>
    </w:p>
    <w:p w14:paraId="7DB06CD4" w14:textId="77777777" w:rsidR="0075434A" w:rsidRPr="00881E41" w:rsidRDefault="0075434A" w:rsidP="00031E53">
      <w:pPr>
        <w:pStyle w:val="Heading1"/>
      </w:pPr>
      <w:bookmarkStart w:id="24" w:name="_Toc489441302"/>
      <w:bookmarkStart w:id="25" w:name="_Toc491332754"/>
      <w:r w:rsidRPr="00881E41">
        <w:lastRenderedPageBreak/>
        <w:t>Acknowledgements</w:t>
      </w:r>
      <w:bookmarkEnd w:id="24"/>
      <w:bookmarkEnd w:id="25"/>
    </w:p>
    <w:p w14:paraId="744BF5FA" w14:textId="01550EE0" w:rsidR="0075434A" w:rsidRPr="00881E41" w:rsidRDefault="0075434A" w:rsidP="00031E53">
      <w:r w:rsidRPr="00881E41">
        <w:t>This report documents the discussions and recommendations made during the conference ‘Celebrating 10 years of the Yogyakarta Principles:</w:t>
      </w:r>
      <w:r w:rsidR="00F3764F">
        <w:t xml:space="preserve"> </w:t>
      </w:r>
      <w:r w:rsidRPr="00881E41">
        <w:t xml:space="preserve">What have we learnt and where to now?’ held from 25-26 April 2017 at the </w:t>
      </w:r>
      <w:proofErr w:type="spellStart"/>
      <w:r w:rsidRPr="00881E41">
        <w:t>Dusit</w:t>
      </w:r>
      <w:proofErr w:type="spellEnd"/>
      <w:r w:rsidRPr="00881E41">
        <w:t xml:space="preserve"> </w:t>
      </w:r>
      <w:proofErr w:type="spellStart"/>
      <w:r w:rsidRPr="00881E41">
        <w:t>Thani</w:t>
      </w:r>
      <w:proofErr w:type="spellEnd"/>
      <w:r w:rsidRPr="00881E41">
        <w:t xml:space="preserve"> Hotel in Bangkok, Thailand. This conference was part of a comprehensive program of activities, jointly developed and funded by the Asia Pacific Forum of National Human Rights Institutions (APF) and the United Nations Development Programme (UNDP), to support national human rights institutions (NHRIs) in the region to work with lesbian, gay, bisexual, transgender and intersex (LGBTI) communities and better advocate for their human rights.</w:t>
      </w:r>
    </w:p>
    <w:p w14:paraId="2128667E" w14:textId="1F62FF3A" w:rsidR="0075434A" w:rsidRPr="00881E41" w:rsidRDefault="0075434A" w:rsidP="00031E53">
      <w:r w:rsidRPr="00881E41">
        <w:t>The participants who attended the conference came from 25 countries and territories, representing NHRIs, LGBTI civil society groups and community based organizations, government, research bodies and international LGBTI advocacy groups.</w:t>
      </w:r>
      <w:r w:rsidR="00F3764F">
        <w:t xml:space="preserve"> </w:t>
      </w:r>
      <w:r w:rsidRPr="00881E41">
        <w:t>The organisers would like to gratefully acknowledge all participants and resource persons for their valuable participation and viewpoints. APF and UNDP would also like to thank the representatives from the 18 NHRIs who contributed to the success of the conference and who are dedicated to fulfilling their mandate to promote and protect the rights of all people. A list of organisations and biographies</w:t>
      </w:r>
      <w:r w:rsidR="00194DB2">
        <w:t xml:space="preserve"> of speakers is included in Appendix 2 and 3 </w:t>
      </w:r>
      <w:r w:rsidRPr="00881E41">
        <w:t>of this report.</w:t>
      </w:r>
    </w:p>
    <w:p w14:paraId="25F0AE31" w14:textId="77777777" w:rsidR="0075434A" w:rsidRPr="00881E41" w:rsidRDefault="0075434A" w:rsidP="00031E53">
      <w:r w:rsidRPr="00881E41">
        <w:t xml:space="preserve">Civil society participants made up almost half of the participants and many of them had attended one of the three APF/UNDP sub-regional blended learning workshops with NHRIs </w:t>
      </w:r>
      <w:r>
        <w:t>(</w:t>
      </w:r>
      <w:r w:rsidRPr="00881E41">
        <w:t>that ha</w:t>
      </w:r>
      <w:r>
        <w:t xml:space="preserve">d been </w:t>
      </w:r>
      <w:r w:rsidRPr="00881E41">
        <w:t xml:space="preserve">taken place by the time the </w:t>
      </w:r>
      <w:r>
        <w:t xml:space="preserve">April </w:t>
      </w:r>
      <w:r w:rsidRPr="00881E41">
        <w:t>conference was held</w:t>
      </w:r>
      <w:r>
        <w:t>)</w:t>
      </w:r>
      <w:r w:rsidRPr="00881E41">
        <w:t xml:space="preserve"> in South Asia (Colombo, December 2016) and </w:t>
      </w:r>
      <w:proofErr w:type="gramStart"/>
      <w:r w:rsidRPr="00881E41">
        <w:t>South East</w:t>
      </w:r>
      <w:proofErr w:type="gramEnd"/>
      <w:r w:rsidRPr="00881E41">
        <w:t xml:space="preserve"> Asia (Manila, February 2017). For these sub-regional workshops, civil society participants were self-nominated through an open call for applications. Additional, civil society participants for the regional conference were identified through request for nominations which was distributed through regional community networks and global advocacy groups. </w:t>
      </w:r>
    </w:p>
    <w:p w14:paraId="1D574D0B" w14:textId="3F3B7998" w:rsidR="0075434A" w:rsidRPr="00881E41" w:rsidRDefault="0075434A" w:rsidP="00031E53">
      <w:r w:rsidRPr="00881E41">
        <w:t xml:space="preserve">The gender and SOGISC of participants also was considered in the selection of all participants. It was essential to ensure that there was a balance of ‘self-reported’ lesbian, gay and other men who have sex with men, bisexual, transgender and intersex persons among participants as well as strong </w:t>
      </w:r>
      <w:proofErr w:type="gramStart"/>
      <w:r w:rsidRPr="00881E41">
        <w:t>allies</w:t>
      </w:r>
      <w:proofErr w:type="gramEnd"/>
      <w:r w:rsidRPr="00881E41">
        <w:t xml:space="preserve"> active in support of the human rights of LGBTI people.</w:t>
      </w:r>
      <w:r w:rsidR="00F3764F">
        <w:t xml:space="preserve"> </w:t>
      </w:r>
      <w:r w:rsidRPr="00881E41">
        <w:t>Finally, geography was also taken into consideration. As this was a global conference held in the region, efforts were made to balance participation from each sub-region, including South Asia, South East Asia, East Asia and the Pacific.</w:t>
      </w:r>
    </w:p>
    <w:p w14:paraId="39335E29" w14:textId="77777777" w:rsidR="0075434A" w:rsidRPr="00881E41" w:rsidRDefault="0075434A" w:rsidP="00031E53">
      <w:r w:rsidRPr="00881E41">
        <w:t xml:space="preserve">The organisers of the conference were Pip Dargan, Chris </w:t>
      </w:r>
      <w:proofErr w:type="spellStart"/>
      <w:r w:rsidRPr="00881E41">
        <w:t>Sidoti</w:t>
      </w:r>
      <w:proofErr w:type="spellEnd"/>
      <w:r w:rsidRPr="00881E41">
        <w:t xml:space="preserve">, </w:t>
      </w:r>
      <w:proofErr w:type="spellStart"/>
      <w:r w:rsidRPr="00881E41">
        <w:t>Fasoha</w:t>
      </w:r>
      <w:proofErr w:type="spellEnd"/>
      <w:r w:rsidRPr="00881E41">
        <w:t xml:space="preserve"> </w:t>
      </w:r>
      <w:proofErr w:type="spellStart"/>
      <w:r w:rsidRPr="00881E41">
        <w:t>Aishath</w:t>
      </w:r>
      <w:proofErr w:type="spellEnd"/>
      <w:r w:rsidRPr="00881E41">
        <w:t xml:space="preserve">, and Thuy Doan Smith, Jack Byrne, from APF, and Nadia Rasheed, Edmund Settle, Nicholas Booth, Jensen Byrne, Zainab </w:t>
      </w:r>
      <w:proofErr w:type="spellStart"/>
      <w:r w:rsidRPr="00881E41">
        <w:t>Javid</w:t>
      </w:r>
      <w:proofErr w:type="spellEnd"/>
      <w:r w:rsidRPr="00881E41">
        <w:t xml:space="preserve"> Patel, </w:t>
      </w:r>
      <w:proofErr w:type="spellStart"/>
      <w:r w:rsidRPr="00881E41">
        <w:t>Sirinapha</w:t>
      </w:r>
      <w:proofErr w:type="spellEnd"/>
      <w:r w:rsidRPr="00881E41">
        <w:t xml:space="preserve"> </w:t>
      </w:r>
      <w:proofErr w:type="spellStart"/>
      <w:r w:rsidRPr="00881E41">
        <w:t>Jittimanee</w:t>
      </w:r>
      <w:proofErr w:type="spellEnd"/>
      <w:r w:rsidRPr="00881E41">
        <w:t xml:space="preserve">, Jay </w:t>
      </w:r>
      <w:proofErr w:type="spellStart"/>
      <w:r w:rsidRPr="00881E41">
        <w:t>Pongruengphant</w:t>
      </w:r>
      <w:proofErr w:type="spellEnd"/>
      <w:r w:rsidRPr="00881E41">
        <w:t xml:space="preserve">, Kathryn Johnson, </w:t>
      </w:r>
      <w:proofErr w:type="spellStart"/>
      <w:r w:rsidRPr="00881E41">
        <w:t>Jawying</w:t>
      </w:r>
      <w:proofErr w:type="spellEnd"/>
      <w:r w:rsidRPr="00881E41">
        <w:t xml:space="preserve"> </w:t>
      </w:r>
      <w:proofErr w:type="spellStart"/>
      <w:r w:rsidRPr="00881E41">
        <w:t>Lyster</w:t>
      </w:r>
      <w:proofErr w:type="spellEnd"/>
      <w:r w:rsidRPr="00881E41">
        <w:t xml:space="preserve">, </w:t>
      </w:r>
      <w:proofErr w:type="spellStart"/>
      <w:r w:rsidRPr="00881E41">
        <w:t>Minyuan</w:t>
      </w:r>
      <w:proofErr w:type="spellEnd"/>
      <w:r w:rsidRPr="00881E41">
        <w:t xml:space="preserve"> Chen and </w:t>
      </w:r>
      <w:proofErr w:type="spellStart"/>
      <w:r w:rsidRPr="00881E41">
        <w:t>Katri</w:t>
      </w:r>
      <w:proofErr w:type="spellEnd"/>
      <w:r w:rsidRPr="00881E41">
        <w:t xml:space="preserve"> </w:t>
      </w:r>
      <w:proofErr w:type="spellStart"/>
      <w:r w:rsidRPr="00881E41">
        <w:t>Kivioja</w:t>
      </w:r>
      <w:proofErr w:type="spellEnd"/>
      <w:r w:rsidRPr="00881E41">
        <w:t xml:space="preserve"> from UNDP Bangkok Regional Hub.</w:t>
      </w:r>
    </w:p>
    <w:p w14:paraId="02B02975" w14:textId="77777777" w:rsidR="0075434A" w:rsidRPr="00881E41" w:rsidRDefault="0075434A" w:rsidP="00031E53">
      <w:r w:rsidRPr="00881E41">
        <w:t xml:space="preserve">James </w:t>
      </w:r>
      <w:proofErr w:type="spellStart"/>
      <w:r w:rsidRPr="00881E41">
        <w:t>Illiffe</w:t>
      </w:r>
      <w:proofErr w:type="spellEnd"/>
      <w:r w:rsidRPr="00881E41">
        <w:t xml:space="preserve"> from APF and Ian </w:t>
      </w:r>
      <w:proofErr w:type="spellStart"/>
      <w:r w:rsidRPr="00881E41">
        <w:t>Mungall</w:t>
      </w:r>
      <w:proofErr w:type="spellEnd"/>
      <w:r w:rsidRPr="00881E41">
        <w:t xml:space="preserve">, Jensen Byrne and </w:t>
      </w:r>
      <w:proofErr w:type="spellStart"/>
      <w:r w:rsidRPr="00881E41">
        <w:t>Đỗ</w:t>
      </w:r>
      <w:proofErr w:type="spellEnd"/>
      <w:r w:rsidRPr="00881E41">
        <w:t xml:space="preserve"> Anh </w:t>
      </w:r>
      <w:proofErr w:type="spellStart"/>
      <w:r w:rsidRPr="00881E41">
        <w:t>Thư</w:t>
      </w:r>
      <w:proofErr w:type="spellEnd"/>
      <w:r w:rsidRPr="00881E41">
        <w:t xml:space="preserve"> from UNDP provided outstanding communication support for the conference.</w:t>
      </w:r>
    </w:p>
    <w:p w14:paraId="3B3329D2" w14:textId="77777777" w:rsidR="0075434A" w:rsidRPr="00881E41" w:rsidRDefault="0075434A" w:rsidP="00031E53">
      <w:r w:rsidRPr="00881E41">
        <w:t xml:space="preserve">The meeting partners would like to recognise </w:t>
      </w:r>
      <w:proofErr w:type="spellStart"/>
      <w:r w:rsidRPr="00881E41">
        <w:t>Fasoha</w:t>
      </w:r>
      <w:proofErr w:type="spellEnd"/>
      <w:r w:rsidRPr="00881E41">
        <w:t xml:space="preserve"> </w:t>
      </w:r>
      <w:proofErr w:type="spellStart"/>
      <w:r w:rsidRPr="00881E41">
        <w:t>Aishath</w:t>
      </w:r>
      <w:proofErr w:type="spellEnd"/>
      <w:r w:rsidRPr="00881E41">
        <w:t xml:space="preserve">, Thuy Doan-Smith and </w:t>
      </w:r>
      <w:proofErr w:type="spellStart"/>
      <w:r w:rsidRPr="00881E41">
        <w:t>Pranee</w:t>
      </w:r>
      <w:proofErr w:type="spellEnd"/>
      <w:r w:rsidRPr="00881E41">
        <w:t xml:space="preserve"> </w:t>
      </w:r>
      <w:proofErr w:type="spellStart"/>
      <w:r w:rsidRPr="00881E41">
        <w:t>Threekul</w:t>
      </w:r>
      <w:proofErr w:type="spellEnd"/>
      <w:r w:rsidRPr="00881E41">
        <w:t xml:space="preserve"> for their excellent logistical and administrative support.</w:t>
      </w:r>
    </w:p>
    <w:p w14:paraId="670CA70C" w14:textId="77777777" w:rsidR="0075434A" w:rsidRPr="00881E41" w:rsidRDefault="0075434A" w:rsidP="00031E53">
      <w:r w:rsidRPr="00881E41">
        <w:t xml:space="preserve">A special thanks to Ahmed </w:t>
      </w:r>
      <w:proofErr w:type="spellStart"/>
      <w:r w:rsidRPr="00881E41">
        <w:t>Shahid</w:t>
      </w:r>
      <w:proofErr w:type="spellEnd"/>
      <w:r w:rsidRPr="00881E41">
        <w:t>, APF consultant, who authored the report</w:t>
      </w:r>
    </w:p>
    <w:p w14:paraId="6B7168B9" w14:textId="77777777" w:rsidR="0075434A" w:rsidRPr="00881E41" w:rsidRDefault="0075434A" w:rsidP="00031E53">
      <w:r w:rsidRPr="00881E41">
        <w:t>This conference was supported by APF and by UNDP through the Being LGBTI in Asia programme.</w:t>
      </w:r>
    </w:p>
    <w:p w14:paraId="78CB7A96" w14:textId="77777777" w:rsidR="0075434A" w:rsidRPr="00881E41" w:rsidRDefault="0075434A" w:rsidP="00031E53">
      <w:r w:rsidRPr="00881E41">
        <w:lastRenderedPageBreak/>
        <w:t>APF is a network of 24 National Human Rights Institutions (NHRIs) in the Asia Pacific region. A fundamental goal of APF is to strengthen its member’s capacity to fulfil their mandates as independent bodies with powers to investigate and report on human rights violations, to stand up for those in need of protection and to hold their governments to account.</w:t>
      </w:r>
    </w:p>
    <w:p w14:paraId="312AD696" w14:textId="77777777" w:rsidR="0075434A" w:rsidRDefault="0075434A" w:rsidP="00031E53">
      <w:r w:rsidRPr="00881E41">
        <w:t>The Being LGBTI in Asia programme aims to reduce marginalisation and exclusion of LGBTI people. Initiated in 2012, the regional programme addresses inequality, violence and discrimination on the basis of sexual orientation, gender identity or intersex status, and promotes universal access to health and social services. It is supported by the Embassy of Sweden in Bangkok and USAID.</w:t>
      </w:r>
    </w:p>
    <w:p w14:paraId="53770957" w14:textId="0C28D858" w:rsidR="00701490" w:rsidRDefault="00701490">
      <w:pPr>
        <w:spacing w:before="0" w:after="0"/>
      </w:pPr>
      <w:r>
        <w:br w:type="page"/>
      </w:r>
    </w:p>
    <w:p w14:paraId="54112502" w14:textId="26C1059D" w:rsidR="0075434A" w:rsidRPr="00B068A2" w:rsidRDefault="00701490" w:rsidP="00701490">
      <w:pPr>
        <w:pStyle w:val="Heading1"/>
      </w:pPr>
      <w:bookmarkStart w:id="26" w:name="_Toc418084662"/>
      <w:bookmarkStart w:id="27" w:name="_Toc489441303"/>
      <w:bookmarkStart w:id="28" w:name="_Toc491332755"/>
      <w:r>
        <w:lastRenderedPageBreak/>
        <w:t>1.</w:t>
      </w:r>
      <w:r>
        <w:tab/>
      </w:r>
      <w:r w:rsidR="0075434A" w:rsidRPr="00B068A2">
        <w:t>Introduction</w:t>
      </w:r>
      <w:bookmarkEnd w:id="26"/>
      <w:bookmarkEnd w:id="27"/>
      <w:bookmarkEnd w:id="28"/>
    </w:p>
    <w:p w14:paraId="27B34315" w14:textId="6DDF824E" w:rsidR="0075434A" w:rsidRPr="00B068A2" w:rsidRDefault="0075434A" w:rsidP="00701490">
      <w:r w:rsidRPr="00B068A2">
        <w:t xml:space="preserve">Ten years ago, from 6-9 November 2006, a distinguished group of human rights experts met at the </w:t>
      </w:r>
      <w:proofErr w:type="spellStart"/>
      <w:r w:rsidRPr="00B068A2">
        <w:t>Gadjah</w:t>
      </w:r>
      <w:proofErr w:type="spellEnd"/>
      <w:r w:rsidRPr="00B068A2">
        <w:t xml:space="preserve"> </w:t>
      </w:r>
      <w:proofErr w:type="spellStart"/>
      <w:r w:rsidRPr="00B068A2">
        <w:t>Mada</w:t>
      </w:r>
      <w:proofErr w:type="spellEnd"/>
      <w:r w:rsidRPr="00B068A2">
        <w:t xml:space="preserve"> University in Yogyakarta (Indonesia) which initiated the process of drafting, developing and refining a set of principles on the application of international human rights law in relation to sexual orientation and gender identity. These principles were unanimously adopted by 29 distinguished experts from 25 countries with diverse backgrounds and expertise relevant to issues of human rights law, which became known as the Yogyakarta Principles on the Application of International Human Rights Law in relation to Sexual Orientation and Gender Identity (Yogyakarta Principles).</w:t>
      </w:r>
      <w:r w:rsidRPr="00701490">
        <w:rPr>
          <w:rStyle w:val="FootnoteReference"/>
        </w:rPr>
        <w:footnoteReference w:id="2"/>
      </w:r>
      <w:r w:rsidRPr="00B068A2">
        <w:t xml:space="preserve"> The signatories of the Yogyakarta Principles consisted of international human rights scholars, L</w:t>
      </w:r>
      <w:r>
        <w:t xml:space="preserve">esbian, </w:t>
      </w:r>
      <w:r w:rsidRPr="00B068A2">
        <w:t>G</w:t>
      </w:r>
      <w:r>
        <w:t xml:space="preserve">ay, </w:t>
      </w:r>
      <w:r w:rsidRPr="00B068A2">
        <w:t>B</w:t>
      </w:r>
      <w:r>
        <w:t xml:space="preserve">isexual, </w:t>
      </w:r>
      <w:r w:rsidRPr="00B068A2">
        <w:t>T</w:t>
      </w:r>
      <w:r>
        <w:t xml:space="preserve">ransgender and </w:t>
      </w:r>
      <w:r w:rsidRPr="00B068A2">
        <w:t>I</w:t>
      </w:r>
      <w:r>
        <w:t>ntersex (LGBTI)</w:t>
      </w:r>
      <w:r w:rsidRPr="00B068A2">
        <w:t xml:space="preserve"> advocates and representatives from </w:t>
      </w:r>
      <w:r w:rsidRPr="008557CB">
        <w:t>Civil Society Organi</w:t>
      </w:r>
      <w:r>
        <w:t>s</w:t>
      </w:r>
      <w:r w:rsidRPr="008557CB">
        <w:t>ation</w:t>
      </w:r>
      <w:r>
        <w:t>s (CSOs)</w:t>
      </w:r>
      <w:r w:rsidRPr="00B068A2">
        <w:t>, N</w:t>
      </w:r>
      <w:r>
        <w:t xml:space="preserve">ational </w:t>
      </w:r>
      <w:r w:rsidRPr="00B068A2">
        <w:t>H</w:t>
      </w:r>
      <w:r>
        <w:t xml:space="preserve">uman </w:t>
      </w:r>
      <w:r w:rsidRPr="00B068A2">
        <w:t>R</w:t>
      </w:r>
      <w:r>
        <w:t xml:space="preserve">ights </w:t>
      </w:r>
      <w:r w:rsidRPr="00B068A2">
        <w:t>I</w:t>
      </w:r>
      <w:r>
        <w:t>nstitutions (NHRI</w:t>
      </w:r>
      <w:r w:rsidRPr="00B068A2">
        <w:t>s</w:t>
      </w:r>
      <w:r>
        <w:t>)</w:t>
      </w:r>
      <w:r w:rsidRPr="00B068A2">
        <w:t xml:space="preserve"> and </w:t>
      </w:r>
      <w:r>
        <w:t>United Nations (</w:t>
      </w:r>
      <w:r w:rsidRPr="00B068A2">
        <w:t>UN</w:t>
      </w:r>
      <w:r>
        <w:t>)</w:t>
      </w:r>
      <w:r w:rsidR="00701490">
        <w:t xml:space="preserve"> agencies.</w:t>
      </w:r>
    </w:p>
    <w:p w14:paraId="2321411E" w14:textId="77777777" w:rsidR="0075434A" w:rsidRPr="00B068A2" w:rsidRDefault="0075434A" w:rsidP="00701490">
      <w:r w:rsidRPr="00B068A2">
        <w:t xml:space="preserve">The Yogyakarta Principles </w:t>
      </w:r>
      <w:r>
        <w:t xml:space="preserve">(the Principles) </w:t>
      </w:r>
      <w:r w:rsidRPr="00B068A2">
        <w:t>included 29 principles, and each includes a statement of international human rights law and guidance to States about their duty to implement the legal obligation. The Principles also include 16 recommendations directed to a number of other parties, including the UN High Commissioner for Human Rights, treaty monitoring bodies, NHRIs, commercial organisations and other parties. The experts agree</w:t>
      </w:r>
      <w:r>
        <w:t>d</w:t>
      </w:r>
      <w:r w:rsidRPr="00B068A2">
        <w:t xml:space="preserve"> that the Principles reflect</w:t>
      </w:r>
      <w:r>
        <w:t>ed</w:t>
      </w:r>
      <w:r w:rsidRPr="00B068A2">
        <w:t xml:space="preserve"> the existing state of international human rights law in relation to issues of sexual orientation and gender identity</w:t>
      </w:r>
      <w:r>
        <w:t xml:space="preserve"> at the time they were drafted</w:t>
      </w:r>
      <w:r w:rsidRPr="00B068A2">
        <w:t>. They also recognise that States may incur additional obligations as human rights law continues to evolve.</w:t>
      </w:r>
      <w:r w:rsidRPr="00701490">
        <w:rPr>
          <w:rStyle w:val="FootnoteReference"/>
        </w:rPr>
        <w:footnoteReference w:id="3"/>
      </w:r>
    </w:p>
    <w:p w14:paraId="4DCBD01F" w14:textId="12DFB24D" w:rsidR="0075434A" w:rsidRPr="00B068A2" w:rsidRDefault="0075434A" w:rsidP="00701490">
      <w:r w:rsidRPr="00B068A2">
        <w:t>Following their official launch in Geneva on 26 March 2007, the Principles were widely disseminated and promoted by NGOs, NHRIs experts and advocates at a variety of regional and interregional events. Over time, the Principles have been supplemented by the release of supporting materials, including guides for activists, jurisprudential annotations and training guides for NHRIs and NGOs. Since their release, international human rights scholars have written extensively about the effectiveness and appropriateness of the Principles in promoting and protecting human rights relevant to sexual orientation and gender identity.</w:t>
      </w:r>
      <w:r w:rsidR="00F3764F">
        <w:t xml:space="preserve"> </w:t>
      </w:r>
    </w:p>
    <w:p w14:paraId="1EFC2642" w14:textId="77777777" w:rsidR="0075434A" w:rsidRPr="00B068A2" w:rsidRDefault="0075434A" w:rsidP="00701490">
      <w:r w:rsidRPr="00B068A2">
        <w:t xml:space="preserve">The 10-year anniversary of the Yogyakarta Principles </w:t>
      </w:r>
      <w:r>
        <w:t>was</w:t>
      </w:r>
      <w:r w:rsidRPr="00B068A2">
        <w:t xml:space="preserve"> a timely opportunity to bring together </w:t>
      </w:r>
      <w:r>
        <w:t>CSOs</w:t>
      </w:r>
      <w:r w:rsidRPr="00B068A2">
        <w:t>, NHRIs, UN agencies and academics to re</w:t>
      </w:r>
      <w:r>
        <w:t xml:space="preserve">flect on the development of the </w:t>
      </w:r>
      <w:r w:rsidRPr="00B068A2">
        <w:t xml:space="preserve">Principles, the ways in which they have been used to promote and protect the rights of LGBTI people, the barriers and challenges encountered in using the Principles and possible future directions. The conference titled “Celebrating 10 years of the Yogyakarta Principles: What have we learnt and where to now?” provided an effective platform for human rights scholars, LGBTI advocates and representatives from NGOs and NHRIs, not only to reflect on the past, but also to explore future developments and opportunities to collaborate further. </w:t>
      </w:r>
    </w:p>
    <w:p w14:paraId="4A546228" w14:textId="3296CCCB" w:rsidR="00701490" w:rsidRDefault="00701490">
      <w:pPr>
        <w:spacing w:before="0" w:after="0"/>
      </w:pPr>
      <w:r>
        <w:br w:type="page"/>
      </w:r>
    </w:p>
    <w:p w14:paraId="36940DF2" w14:textId="2CF5FBED" w:rsidR="0075434A" w:rsidRPr="00B068A2" w:rsidRDefault="00701490" w:rsidP="00701490">
      <w:pPr>
        <w:pStyle w:val="Heading1"/>
      </w:pPr>
      <w:bookmarkStart w:id="29" w:name="_Toc489441304"/>
      <w:bookmarkStart w:id="30" w:name="_Toc491332756"/>
      <w:r>
        <w:lastRenderedPageBreak/>
        <w:t>2.</w:t>
      </w:r>
      <w:r>
        <w:tab/>
      </w:r>
      <w:r w:rsidR="0075434A" w:rsidRPr="00B068A2">
        <w:t>Objectives and outcomes of the Conference</w:t>
      </w:r>
      <w:bookmarkEnd w:id="29"/>
      <w:bookmarkEnd w:id="30"/>
    </w:p>
    <w:p w14:paraId="1F43A884" w14:textId="5337AABD" w:rsidR="0075434A" w:rsidRPr="00701490" w:rsidRDefault="0075434A" w:rsidP="00701490">
      <w:r w:rsidRPr="00701490">
        <w:t>Since the adoption of the Yogyakarta Principles, many advances have been made toward ensuring that people of all sexual orientations and gender identities can live with the equal dignity and respect to which all persons are entitled. Many States now have laws and constitutions that guarantee the rights of equality and non-discrimination without distinction on the basis of sexual orientation or gender identity. Internationally, including within this region, there is increasing discussion about discrimination experienced by intersex people on the basis of their sex characteristics. With these developments and challenges in mind, the discussion covered broad-ranging issues and reached beyond the Principles as they were developed a decade ago, based on the existing international human rights law at that time. It encompassed legal developments over that period and other international, regional and national measures to promote and protect the rights of LGBTI people.</w:t>
      </w:r>
      <w:r w:rsidR="00F3764F">
        <w:t xml:space="preserve"> </w:t>
      </w:r>
    </w:p>
    <w:p w14:paraId="23EA8FBE" w14:textId="55A1669C" w:rsidR="0075434A" w:rsidRPr="00B068A2" w:rsidRDefault="00701490" w:rsidP="00701490">
      <w:pPr>
        <w:pStyle w:val="Heading2"/>
      </w:pPr>
      <w:bookmarkStart w:id="31" w:name="_Toc489441305"/>
      <w:bookmarkStart w:id="32" w:name="_Toc491332757"/>
      <w:r>
        <w:t>2.1.</w:t>
      </w:r>
      <w:r>
        <w:tab/>
      </w:r>
      <w:r w:rsidR="0075434A" w:rsidRPr="00701490">
        <w:t>Objectives</w:t>
      </w:r>
      <w:bookmarkEnd w:id="31"/>
      <w:bookmarkEnd w:id="32"/>
    </w:p>
    <w:p w14:paraId="78992185" w14:textId="5B9B9E3A" w:rsidR="0075434A" w:rsidRPr="00B068A2" w:rsidRDefault="0075434A" w:rsidP="00701490">
      <w:r w:rsidRPr="00B068A2">
        <w:t>The Conference aims to enable exchanges between Asia and Pacific NHRIs, regional NGOs</w:t>
      </w:r>
      <w:r>
        <w:t xml:space="preserve"> and community based organisations (CBOs)</w:t>
      </w:r>
      <w:r w:rsidRPr="00B068A2">
        <w:t>, UN agencies and international and individual experts on:</w:t>
      </w:r>
      <w:r w:rsidRPr="00701490">
        <w:rPr>
          <w:rStyle w:val="FootnoteReference"/>
        </w:rPr>
        <w:footnoteReference w:id="4"/>
      </w:r>
    </w:p>
    <w:p w14:paraId="25A7EB2F" w14:textId="2030DF15" w:rsidR="0075434A" w:rsidRPr="00B068A2" w:rsidRDefault="00701490" w:rsidP="009C1DEE">
      <w:pPr>
        <w:pStyle w:val="NumberedListL2"/>
      </w:pPr>
      <w:r>
        <w:t>1.</w:t>
      </w:r>
      <w:r>
        <w:tab/>
      </w:r>
      <w:r w:rsidR="008E4814">
        <w:t>T</w:t>
      </w:r>
      <w:r w:rsidR="0075434A" w:rsidRPr="00B068A2">
        <w:t>he different uses of the Yogyakarta Principles and other measures or initiatives in relation to promoting and protecting the human rights of LGBT and intersex people at global, regional and national levels (including through UN special procedures, U</w:t>
      </w:r>
      <w:r w:rsidR="0075434A">
        <w:t xml:space="preserve">niversal </w:t>
      </w:r>
      <w:r w:rsidR="0075434A" w:rsidRPr="00B068A2">
        <w:t>P</w:t>
      </w:r>
      <w:r w:rsidR="0075434A">
        <w:t xml:space="preserve">eriodic </w:t>
      </w:r>
      <w:r w:rsidR="0075434A" w:rsidRPr="00B068A2">
        <w:t>R</w:t>
      </w:r>
      <w:r w:rsidR="0075434A">
        <w:t>eview (UPR)</w:t>
      </w:r>
      <w:r w:rsidR="0075434A" w:rsidRPr="00B068A2">
        <w:t>, S</w:t>
      </w:r>
      <w:r w:rsidR="0075434A">
        <w:t xml:space="preserve">ustainable </w:t>
      </w:r>
      <w:r w:rsidR="0075434A" w:rsidRPr="00B068A2">
        <w:t>D</w:t>
      </w:r>
      <w:r w:rsidR="0075434A">
        <w:t xml:space="preserve">evelopment </w:t>
      </w:r>
      <w:r w:rsidR="0075434A" w:rsidRPr="00B068A2">
        <w:t>G</w:t>
      </w:r>
      <w:r w:rsidR="0075434A">
        <w:t>oal</w:t>
      </w:r>
      <w:r w:rsidR="0075434A" w:rsidRPr="00B068A2">
        <w:t>s</w:t>
      </w:r>
      <w:r w:rsidR="0075434A">
        <w:t xml:space="preserve"> (SDGs)</w:t>
      </w:r>
      <w:r w:rsidR="0075434A" w:rsidRPr="00B068A2">
        <w:t xml:space="preserve">, treaty bodies, regional intergovernmental mechanisms, regional NHRI networks, country level initiatives). </w:t>
      </w:r>
    </w:p>
    <w:p w14:paraId="35F62FAF" w14:textId="7A68320B" w:rsidR="0075434A" w:rsidRPr="00B068A2" w:rsidRDefault="00701490" w:rsidP="009C1DEE">
      <w:pPr>
        <w:pStyle w:val="NumberedListL2"/>
      </w:pPr>
      <w:r>
        <w:t>2.</w:t>
      </w:r>
      <w:r>
        <w:tab/>
      </w:r>
      <w:r w:rsidR="008E4814">
        <w:t>T</w:t>
      </w:r>
      <w:r w:rsidR="0075434A" w:rsidRPr="00B068A2">
        <w:t>he future development of international human rights law and practice in relation to those rights</w:t>
      </w:r>
      <w:r w:rsidR="008E4814">
        <w:t xml:space="preserve"> on the basis of the Principles.</w:t>
      </w:r>
    </w:p>
    <w:p w14:paraId="40901C99" w14:textId="3BA3DF98" w:rsidR="0075434A" w:rsidRPr="00B068A2" w:rsidRDefault="00701490" w:rsidP="009C1DEE">
      <w:pPr>
        <w:pStyle w:val="NumberedListL2"/>
      </w:pPr>
      <w:r>
        <w:t>3.</w:t>
      </w:r>
      <w:r>
        <w:tab/>
      </w:r>
      <w:r w:rsidR="008E4814">
        <w:t>I</w:t>
      </w:r>
      <w:r w:rsidR="0075434A" w:rsidRPr="00B068A2">
        <w:t>dentify areas in which the Principles could be developed further and pos</w:t>
      </w:r>
      <w:r w:rsidR="008E4814">
        <w:t>sible complementary initiatives.</w:t>
      </w:r>
    </w:p>
    <w:p w14:paraId="73A5F31E" w14:textId="2913079A" w:rsidR="0075434A" w:rsidRPr="00B068A2" w:rsidRDefault="00701490" w:rsidP="009C1DEE">
      <w:pPr>
        <w:pStyle w:val="NumberedListL2"/>
      </w:pPr>
      <w:r>
        <w:t>4.</w:t>
      </w:r>
      <w:r>
        <w:tab/>
      </w:r>
      <w:r w:rsidR="008E4814">
        <w:t>S</w:t>
      </w:r>
      <w:r w:rsidR="0075434A" w:rsidRPr="00B068A2">
        <w:t>upport cooperation between NHRIs, NGOs</w:t>
      </w:r>
      <w:r w:rsidR="0075434A">
        <w:t xml:space="preserve"> and CBOs,</w:t>
      </w:r>
      <w:r w:rsidR="0075434A" w:rsidRPr="00B068A2">
        <w:t xml:space="preserve"> UN agencies, advocates and scholars protect and promote the righ</w:t>
      </w:r>
      <w:r w:rsidR="008E4814">
        <w:t>ts of LGBT and intersex people.</w:t>
      </w:r>
    </w:p>
    <w:p w14:paraId="2851C142" w14:textId="5A4127F7" w:rsidR="0075434A" w:rsidRPr="00B068A2" w:rsidRDefault="009C1DEE" w:rsidP="00701490">
      <w:pPr>
        <w:pStyle w:val="Heading2"/>
      </w:pPr>
      <w:bookmarkStart w:id="33" w:name="_Toc489441306"/>
      <w:bookmarkStart w:id="34" w:name="_Toc491332758"/>
      <w:r>
        <w:t>2.2.</w:t>
      </w:r>
      <w:r>
        <w:tab/>
        <w:t>Expected o</w:t>
      </w:r>
      <w:r w:rsidR="0075434A" w:rsidRPr="00B068A2">
        <w:t>utcomes</w:t>
      </w:r>
      <w:bookmarkEnd w:id="33"/>
      <w:bookmarkEnd w:id="34"/>
    </w:p>
    <w:p w14:paraId="636FDBA3" w14:textId="4288B38B" w:rsidR="0075434A" w:rsidRPr="00B068A2" w:rsidRDefault="0075434A" w:rsidP="009C1DEE">
      <w:r w:rsidRPr="00B068A2">
        <w:t xml:space="preserve">Through intensive discussions and deliberations, the following outcomes </w:t>
      </w:r>
      <w:r>
        <w:t>were</w:t>
      </w:r>
      <w:r w:rsidRPr="00B068A2">
        <w:t xml:space="preserve"> expected from the conference:</w:t>
      </w:r>
      <w:r w:rsidRPr="009C1DEE">
        <w:rPr>
          <w:rStyle w:val="FootnoteReference"/>
        </w:rPr>
        <w:footnoteReference w:id="5"/>
      </w:r>
    </w:p>
    <w:p w14:paraId="5549F42D" w14:textId="4E990A30" w:rsidR="0075434A" w:rsidRPr="00B068A2" w:rsidRDefault="009C1DEE" w:rsidP="009C1DEE">
      <w:pPr>
        <w:pStyle w:val="NumberedListL2"/>
      </w:pPr>
      <w:r>
        <w:t>1.</w:t>
      </w:r>
      <w:r>
        <w:tab/>
      </w:r>
      <w:r w:rsidR="0075434A" w:rsidRPr="00B068A2">
        <w:t xml:space="preserve">NHRIs, NGOs and </w:t>
      </w:r>
      <w:r w:rsidR="0075434A">
        <w:t xml:space="preserve">CBOs, and </w:t>
      </w:r>
      <w:r w:rsidR="0075434A" w:rsidRPr="00B068A2">
        <w:t>LGBTI advocates develop a greater understanding of the ways in which the Yogyakarta Principles can be used to protect and pro</w:t>
      </w:r>
      <w:r w:rsidR="008E4814">
        <w:t>mote the rights of LGBTI people.</w:t>
      </w:r>
    </w:p>
    <w:p w14:paraId="112934C6" w14:textId="12757B03" w:rsidR="0075434A" w:rsidRDefault="009C1DEE" w:rsidP="009C1DEE">
      <w:pPr>
        <w:pStyle w:val="NumberedListL2"/>
      </w:pPr>
      <w:r>
        <w:lastRenderedPageBreak/>
        <w:t>2.</w:t>
      </w:r>
      <w:r>
        <w:tab/>
      </w:r>
      <w:r w:rsidR="0075434A" w:rsidRPr="00B068A2">
        <w:t xml:space="preserve">NHRIs, </w:t>
      </w:r>
      <w:r w:rsidR="0075434A">
        <w:t>NGOs and CBOs</w:t>
      </w:r>
      <w:r w:rsidR="0075434A" w:rsidRPr="00B068A2">
        <w:t xml:space="preserve">, LGBTI advocates and international experts develop strategies to work together to engage government and international bodies to promote the Yogyakarta Principles </w:t>
      </w:r>
      <w:r w:rsidR="008E4814">
        <w:t>and the rights that they embody.</w:t>
      </w:r>
    </w:p>
    <w:p w14:paraId="74DA3BE9" w14:textId="7749375B" w:rsidR="0075434A" w:rsidRDefault="009C1DEE" w:rsidP="009C1DEE">
      <w:pPr>
        <w:pStyle w:val="NumberedListL2"/>
      </w:pPr>
      <w:r>
        <w:t>3.</w:t>
      </w:r>
      <w:r>
        <w:tab/>
      </w:r>
      <w:r w:rsidR="0075434A" w:rsidRPr="007D7EDB">
        <w:t>Participants recommend suggestions for the future development or supplement</w:t>
      </w:r>
      <w:r>
        <w:t xml:space="preserve"> of the Yogyakarta Principles.</w:t>
      </w:r>
    </w:p>
    <w:p w14:paraId="65EE052B" w14:textId="4EDD9E1C" w:rsidR="009C1DEE" w:rsidRDefault="009C1DEE">
      <w:pPr>
        <w:spacing w:before="0" w:after="0"/>
      </w:pPr>
      <w:r>
        <w:br w:type="page"/>
      </w:r>
    </w:p>
    <w:p w14:paraId="4808382C" w14:textId="5F19BAD9" w:rsidR="0075434A" w:rsidRPr="00B068A2" w:rsidRDefault="009C1DEE" w:rsidP="009C1DEE">
      <w:pPr>
        <w:pStyle w:val="Heading1"/>
      </w:pPr>
      <w:bookmarkStart w:id="35" w:name="_Toc489441307"/>
      <w:bookmarkStart w:id="36" w:name="_Toc491332759"/>
      <w:r>
        <w:lastRenderedPageBreak/>
        <w:t>3.</w:t>
      </w:r>
      <w:r>
        <w:tab/>
        <w:t>Structure and t</w:t>
      </w:r>
      <w:r w:rsidR="0075434A" w:rsidRPr="00B068A2">
        <w:t>hemes of the Conference</w:t>
      </w:r>
      <w:bookmarkEnd w:id="35"/>
      <w:bookmarkEnd w:id="36"/>
    </w:p>
    <w:p w14:paraId="7E5FC16E" w14:textId="77777777" w:rsidR="0075434A" w:rsidRPr="00B068A2" w:rsidRDefault="0075434A" w:rsidP="009C1DEE">
      <w:r w:rsidRPr="00B068A2">
        <w:t xml:space="preserve">In order </w:t>
      </w:r>
      <w:r w:rsidRPr="009C1DEE">
        <w:t>to</w:t>
      </w:r>
      <w:r w:rsidRPr="00B068A2">
        <w:t xml:space="preserve"> maxim</w:t>
      </w:r>
      <w:r>
        <w:t>is</w:t>
      </w:r>
      <w:r w:rsidRPr="00B068A2">
        <w:t xml:space="preserve">e the positive interactions and debate among the participants, the Conference followed a thematic approach to issues related to the Yogyakarta Principles, their application and experiences of the LGBTI community. Thus, the themes of discussion focused on understanding and deriving lessons from the past, and reflecting on the current status and developing plans of action for the future. </w:t>
      </w:r>
    </w:p>
    <w:p w14:paraId="3BA976F0" w14:textId="29A9FF29" w:rsidR="0075434A" w:rsidRPr="00B068A2" w:rsidRDefault="009C1DEE" w:rsidP="00701490">
      <w:pPr>
        <w:pStyle w:val="Heading2"/>
      </w:pPr>
      <w:bookmarkStart w:id="37" w:name="_Toc489441308"/>
      <w:bookmarkStart w:id="38" w:name="_Toc491332760"/>
      <w:r>
        <w:t>3.1.</w:t>
      </w:r>
      <w:r>
        <w:tab/>
      </w:r>
      <w:r w:rsidR="0075434A" w:rsidRPr="00B068A2">
        <w:t>Past</w:t>
      </w:r>
      <w:bookmarkEnd w:id="37"/>
      <w:bookmarkEnd w:id="38"/>
    </w:p>
    <w:p w14:paraId="6F44ADC0" w14:textId="63F2B251" w:rsidR="0075434A" w:rsidRPr="00B068A2" w:rsidRDefault="0075434A" w:rsidP="009C1DEE">
      <w:r w:rsidRPr="00B068A2">
        <w:t>This theme invite</w:t>
      </w:r>
      <w:r>
        <w:t>d</w:t>
      </w:r>
      <w:r w:rsidRPr="00B068A2">
        <w:t xml:space="preserve"> participants to reflect on the origins of the Yogyakarta Principles, and the factors that contributed to their development and appli</w:t>
      </w:r>
      <w:r w:rsidR="008E4814">
        <w:t>cation over the past ten years.</w:t>
      </w:r>
    </w:p>
    <w:p w14:paraId="38CA936A" w14:textId="66660373" w:rsidR="0075434A" w:rsidRPr="009C1DEE" w:rsidRDefault="009C1DEE" w:rsidP="009C1DEE">
      <w:pPr>
        <w:pStyle w:val="Heading4"/>
      </w:pPr>
      <w:r w:rsidRPr="009C1DEE">
        <w:t>Key focus areas/sub-themes</w:t>
      </w:r>
    </w:p>
    <w:p w14:paraId="4E861C4E" w14:textId="20C729D0" w:rsidR="0075434A" w:rsidRPr="00B068A2" w:rsidRDefault="0075434A" w:rsidP="008E4814">
      <w:pPr>
        <w:pStyle w:val="ListBulletNoIndentLessSpace"/>
      </w:pPr>
      <w:r w:rsidRPr="00B068A2">
        <w:t>What factors contributed to t</w:t>
      </w:r>
      <w:r w:rsidR="008E4814">
        <w:t>he emergence of the Principles?</w:t>
      </w:r>
    </w:p>
    <w:p w14:paraId="09F8AB2A" w14:textId="5C51A78F" w:rsidR="0075434A" w:rsidRPr="00B068A2" w:rsidRDefault="0075434A" w:rsidP="008E4814">
      <w:pPr>
        <w:pStyle w:val="ListBulletNoIndentLessSpace"/>
      </w:pPr>
      <w:r w:rsidRPr="00B068A2">
        <w:t>What considerations shaped the nature</w:t>
      </w:r>
      <w:r w:rsidR="008E4814">
        <w:t xml:space="preserve"> and content of the Principles?</w:t>
      </w:r>
    </w:p>
    <w:p w14:paraId="23CB2108" w14:textId="6C2DEE6E" w:rsidR="0075434A" w:rsidRPr="00B068A2" w:rsidRDefault="0075434A" w:rsidP="008E4814">
      <w:pPr>
        <w:pStyle w:val="ListBulletNoIndentLessSpace"/>
      </w:pPr>
      <w:r w:rsidRPr="00B068A2">
        <w:t>How have the Yogyakarta Principles been used at the country level over the past 10 years to promote and prot</w:t>
      </w:r>
      <w:r w:rsidR="008E4814">
        <w:t>ect the rights of LGBTI people?</w:t>
      </w:r>
    </w:p>
    <w:p w14:paraId="34A0E4AC" w14:textId="65DA6D06" w:rsidR="0075434A" w:rsidRPr="00B068A2" w:rsidRDefault="009C1DEE" w:rsidP="00701490">
      <w:pPr>
        <w:pStyle w:val="Heading2"/>
      </w:pPr>
      <w:bookmarkStart w:id="39" w:name="_Toc489441309"/>
      <w:bookmarkStart w:id="40" w:name="_Toc491332761"/>
      <w:r>
        <w:t>3.2.</w:t>
      </w:r>
      <w:r>
        <w:tab/>
      </w:r>
      <w:r w:rsidR="0075434A" w:rsidRPr="00B068A2">
        <w:t>Present</w:t>
      </w:r>
      <w:bookmarkEnd w:id="39"/>
      <w:bookmarkEnd w:id="40"/>
    </w:p>
    <w:p w14:paraId="1B717932" w14:textId="77777777" w:rsidR="0075434A" w:rsidRPr="00B068A2" w:rsidRDefault="0075434A" w:rsidP="009C1DEE">
      <w:r w:rsidRPr="00B068A2">
        <w:t>This theme provide</w:t>
      </w:r>
      <w:r>
        <w:t>d</w:t>
      </w:r>
      <w:r w:rsidRPr="00B068A2">
        <w:t xml:space="preserve"> an opportunity for NGOs</w:t>
      </w:r>
      <w:r>
        <w:t>, CBOs</w:t>
      </w:r>
      <w:r w:rsidRPr="00B068A2">
        <w:t>, NHRIs and UN agencies to provide practical case studies (global, regional, national) of how they have used the principles in a variety of contexts, including advocacy, public education, litigation and the international human rights framework. It also invites participants to identify and explore the current barriers and challenges they encounter in using the principles and identify the shortcomings of the principles in responding to contemporary and emerging human rights issues for LGBTI people.</w:t>
      </w:r>
    </w:p>
    <w:p w14:paraId="7931729D" w14:textId="77777777" w:rsidR="009C1DEE" w:rsidRPr="009C1DEE" w:rsidRDefault="009C1DEE" w:rsidP="009C1DEE">
      <w:pPr>
        <w:pStyle w:val="Heading4"/>
      </w:pPr>
      <w:r w:rsidRPr="009C1DEE">
        <w:t>Key focus areas/sub-themes</w:t>
      </w:r>
    </w:p>
    <w:p w14:paraId="0D980BF0" w14:textId="77777777" w:rsidR="0075434A" w:rsidRPr="00B068A2" w:rsidRDefault="0075434A" w:rsidP="008E4814">
      <w:pPr>
        <w:pStyle w:val="ListBulletNoIndentLessSpace"/>
      </w:pPr>
      <w:r w:rsidRPr="00B068A2">
        <w:t xml:space="preserve">How are the Principles being used today? </w:t>
      </w:r>
    </w:p>
    <w:p w14:paraId="1D0EB68E" w14:textId="77777777" w:rsidR="0075434A" w:rsidRPr="00B068A2" w:rsidRDefault="0075434A" w:rsidP="008E4814">
      <w:pPr>
        <w:pStyle w:val="ListBulletNoIndentLessSpace"/>
      </w:pPr>
      <w:r w:rsidRPr="00B068A2">
        <w:t xml:space="preserve">What challenges and barriers are encountered in using the Yogyakarta Principles? </w:t>
      </w:r>
    </w:p>
    <w:p w14:paraId="587E1A2F" w14:textId="77777777" w:rsidR="0075434A" w:rsidRPr="00B068A2" w:rsidRDefault="0075434A" w:rsidP="008E4814">
      <w:pPr>
        <w:pStyle w:val="ListBulletNoIndentLessSpace"/>
      </w:pPr>
      <w:r w:rsidRPr="00B068A2">
        <w:t xml:space="preserve">What are the limitations of the Yogyakarta Principles in responding to existing and emerging human rights issues? These may include: </w:t>
      </w:r>
    </w:p>
    <w:p w14:paraId="78BF6A8B" w14:textId="77777777" w:rsidR="0075434A" w:rsidRPr="00B068A2" w:rsidRDefault="0075434A" w:rsidP="008E4814">
      <w:pPr>
        <w:pStyle w:val="ListBullet2"/>
        <w:ind w:left="717"/>
      </w:pPr>
      <w:r w:rsidRPr="00B068A2">
        <w:t xml:space="preserve">intersex status and sex characteristics </w:t>
      </w:r>
    </w:p>
    <w:p w14:paraId="62673ECB" w14:textId="77777777" w:rsidR="0075434A" w:rsidRPr="00B068A2" w:rsidRDefault="0075434A" w:rsidP="008E4814">
      <w:pPr>
        <w:pStyle w:val="ListBullet2"/>
        <w:ind w:left="717"/>
      </w:pPr>
      <w:r w:rsidRPr="00B068A2">
        <w:t xml:space="preserve">gender identity and expression </w:t>
      </w:r>
    </w:p>
    <w:p w14:paraId="2DE0EBF5" w14:textId="77777777" w:rsidR="0075434A" w:rsidRPr="00B068A2" w:rsidRDefault="0075434A" w:rsidP="008E4814">
      <w:pPr>
        <w:pStyle w:val="ListBullet2"/>
        <w:ind w:left="717"/>
      </w:pPr>
      <w:r w:rsidRPr="00B068A2">
        <w:t xml:space="preserve">marriage and family </w:t>
      </w:r>
    </w:p>
    <w:p w14:paraId="28C8D34C" w14:textId="77777777" w:rsidR="0075434A" w:rsidRPr="00B068A2" w:rsidRDefault="0075434A" w:rsidP="008E4814">
      <w:pPr>
        <w:pStyle w:val="ListBullet2"/>
        <w:ind w:left="717"/>
      </w:pPr>
      <w:r w:rsidRPr="00B068A2">
        <w:t xml:space="preserve">LGBTI children </w:t>
      </w:r>
    </w:p>
    <w:p w14:paraId="3B5ED46A" w14:textId="6BD0E613" w:rsidR="0075434A" w:rsidRPr="00B068A2" w:rsidRDefault="0075434A" w:rsidP="008E4814">
      <w:pPr>
        <w:pStyle w:val="ListBullet2"/>
        <w:ind w:left="717"/>
      </w:pPr>
      <w:r w:rsidRPr="00B068A2">
        <w:t xml:space="preserve">obligations of </w:t>
      </w:r>
      <w:r>
        <w:t>n</w:t>
      </w:r>
      <w:r w:rsidR="009C1DEE">
        <w:t>on-state actors</w:t>
      </w:r>
      <w:r w:rsidR="00E51B1D">
        <w:t>.</w:t>
      </w:r>
    </w:p>
    <w:p w14:paraId="03EF4D92" w14:textId="556CACF0" w:rsidR="0075434A" w:rsidRPr="00B068A2" w:rsidRDefault="0075434A" w:rsidP="00701490">
      <w:pPr>
        <w:pStyle w:val="Heading2"/>
      </w:pPr>
      <w:bookmarkStart w:id="41" w:name="_Toc489441310"/>
      <w:bookmarkStart w:id="42" w:name="_Toc491332762"/>
      <w:r w:rsidRPr="00B068A2">
        <w:lastRenderedPageBreak/>
        <w:t>3.3.</w:t>
      </w:r>
      <w:r w:rsidR="006F5413">
        <w:tab/>
      </w:r>
      <w:r w:rsidRPr="00B068A2">
        <w:t>Future</w:t>
      </w:r>
      <w:bookmarkEnd w:id="41"/>
      <w:bookmarkEnd w:id="42"/>
    </w:p>
    <w:p w14:paraId="0E7F7E75" w14:textId="77777777" w:rsidR="0075434A" w:rsidRPr="00B068A2" w:rsidRDefault="0075434A" w:rsidP="006F5413">
      <w:r w:rsidRPr="00B068A2">
        <w:t xml:space="preserve">This theme encourages participants to reflect on the ‘gaps’ and the future of the Yogyakarta Principles in </w:t>
      </w:r>
      <w:r w:rsidRPr="006F5413">
        <w:t>combination</w:t>
      </w:r>
      <w:r w:rsidRPr="00B068A2">
        <w:t xml:space="preserve"> with other possible initiatives to protect and promote human rights relevant to sexual orientation</w:t>
      </w:r>
      <w:r>
        <w:t xml:space="preserve">, </w:t>
      </w:r>
      <w:r w:rsidRPr="00B068A2">
        <w:t>gender identity</w:t>
      </w:r>
      <w:r>
        <w:t xml:space="preserve"> and expression, and sex characteristics</w:t>
      </w:r>
      <w:r w:rsidRPr="00B068A2">
        <w:t xml:space="preserve">. </w:t>
      </w:r>
    </w:p>
    <w:p w14:paraId="4533647B" w14:textId="77777777" w:rsidR="006F5413" w:rsidRPr="009C1DEE" w:rsidRDefault="006F5413" w:rsidP="006F5413">
      <w:pPr>
        <w:pStyle w:val="Heading4"/>
        <w:spacing w:after="120"/>
      </w:pPr>
      <w:r w:rsidRPr="009C1DEE">
        <w:t>Key focus areas/sub-themes</w:t>
      </w:r>
    </w:p>
    <w:p w14:paraId="77A7F97D" w14:textId="7A4AAA25" w:rsidR="0075434A" w:rsidRPr="00B068A2" w:rsidRDefault="006F5413" w:rsidP="008E4814">
      <w:pPr>
        <w:pStyle w:val="ListBulletNoIndentLessSpace"/>
      </w:pPr>
      <w:r>
        <w:t>Future of the Principles?</w:t>
      </w:r>
    </w:p>
    <w:p w14:paraId="021B266D" w14:textId="77777777" w:rsidR="0075434A" w:rsidRPr="00B068A2" w:rsidRDefault="0075434A" w:rsidP="008E4814">
      <w:pPr>
        <w:pStyle w:val="ListBulletNoIndentLessSpace"/>
      </w:pPr>
      <w:r w:rsidRPr="00B068A2">
        <w:t xml:space="preserve">Complimentary initiatives? </w:t>
      </w:r>
    </w:p>
    <w:p w14:paraId="669DDA5E" w14:textId="77777777" w:rsidR="0075434A" w:rsidRPr="00B068A2" w:rsidRDefault="0075434A" w:rsidP="008E4814">
      <w:pPr>
        <w:pStyle w:val="ListBulletNoIndentLessSpace"/>
      </w:pPr>
      <w:r w:rsidRPr="00B068A2">
        <w:t xml:space="preserve">Protecting and promoting rights relevant to sexual orientation, gender identity and </w:t>
      </w:r>
      <w:r>
        <w:t xml:space="preserve">sex characteristics </w:t>
      </w:r>
      <w:r w:rsidRPr="00B068A2">
        <w:t xml:space="preserve">over the next 10 years. </w:t>
      </w:r>
    </w:p>
    <w:p w14:paraId="39D2BBFC" w14:textId="2A3B54FC" w:rsidR="0075434A" w:rsidRPr="00B068A2" w:rsidRDefault="006F5413" w:rsidP="00701490">
      <w:pPr>
        <w:pStyle w:val="Heading2"/>
      </w:pPr>
      <w:bookmarkStart w:id="43" w:name="_Toc489441311"/>
      <w:bookmarkStart w:id="44" w:name="_Toc491332763"/>
      <w:r>
        <w:t>3.4.</w:t>
      </w:r>
      <w:r>
        <w:tab/>
      </w:r>
      <w:r w:rsidR="0075434A" w:rsidRPr="00B068A2">
        <w:t>Working method of the Conference</w:t>
      </w:r>
      <w:bookmarkEnd w:id="43"/>
      <w:bookmarkEnd w:id="44"/>
    </w:p>
    <w:p w14:paraId="64828830" w14:textId="77777777" w:rsidR="0075434A" w:rsidRPr="00B068A2" w:rsidRDefault="0075434A" w:rsidP="006F5413">
      <w:r w:rsidRPr="00B068A2">
        <w:t xml:space="preserve">The </w:t>
      </w:r>
      <w:r w:rsidRPr="006F5413">
        <w:t>Conference</w:t>
      </w:r>
      <w:r w:rsidRPr="00B068A2">
        <w:t xml:space="preserve"> program</w:t>
      </w:r>
      <w:r>
        <w:t>me</w:t>
      </w:r>
      <w:r w:rsidRPr="00B068A2">
        <w:t xml:space="preserve"> included interactive sessions based on group discussions and a wor</w:t>
      </w:r>
      <w:r>
        <w:t>k</w:t>
      </w:r>
      <w:r w:rsidRPr="00B068A2">
        <w:t xml:space="preserve"> station format. These sessions were supplemented by plenary sessions. A summary of proceedings in these sessions are presented in the next section of this report. </w:t>
      </w:r>
    </w:p>
    <w:p w14:paraId="2F6FB3BA" w14:textId="1FB3982B" w:rsidR="0075434A" w:rsidRPr="00B068A2" w:rsidRDefault="006F5413" w:rsidP="006F5413">
      <w:pPr>
        <w:pStyle w:val="Heading4"/>
        <w:spacing w:after="120"/>
      </w:pPr>
      <w:r>
        <w:t>Participants</w:t>
      </w:r>
    </w:p>
    <w:p w14:paraId="6B4EC640" w14:textId="77777777" w:rsidR="0075434A" w:rsidRPr="006F5413" w:rsidRDefault="0075434A" w:rsidP="006F5413">
      <w:pPr>
        <w:spacing w:before="120"/>
      </w:pPr>
      <w:r w:rsidRPr="006F5413">
        <w:t>Among the participants of the conference were:</w:t>
      </w:r>
    </w:p>
    <w:p w14:paraId="481883BB" w14:textId="77777777" w:rsidR="0075434A" w:rsidRPr="00D26423" w:rsidRDefault="0075434A" w:rsidP="006F5413">
      <w:pPr>
        <w:pStyle w:val="ListBulletNoIndent"/>
        <w:rPr>
          <w:lang w:val="en-US"/>
        </w:rPr>
      </w:pPr>
      <w:r w:rsidRPr="00D26423">
        <w:rPr>
          <w:lang w:val="en-US"/>
        </w:rPr>
        <w:t>Representatives of APF members including the NHRIs of Afghanistan, Australia, Bangladesh, India, Indonesia, Jordan, Kazakhstan, Korea, Malaysia, Mongolia, Myanmar, Nepal, Philippines, Sri Lanka, Timor-Leste, Thailand, Fiji, and Pakistan;</w:t>
      </w:r>
    </w:p>
    <w:p w14:paraId="6F8267C9" w14:textId="77777777" w:rsidR="0075434A" w:rsidRPr="00D26423" w:rsidRDefault="0075434A" w:rsidP="006F5413">
      <w:pPr>
        <w:pStyle w:val="ListBulletNoIndent"/>
        <w:rPr>
          <w:lang w:val="en-US"/>
        </w:rPr>
      </w:pPr>
      <w:r w:rsidRPr="00D26423">
        <w:rPr>
          <w:lang w:val="en-US"/>
        </w:rPr>
        <w:t xml:space="preserve">Representatives of Embassy of Sweden; Thailand Ministry of Justice; United States Agency for International Development (USAID); The Economist Intelligence Unit, Asia Pacific; Williams Institute, UCLA School of Law; </w:t>
      </w:r>
      <w:proofErr w:type="spellStart"/>
      <w:r w:rsidRPr="00D26423">
        <w:rPr>
          <w:lang w:val="en-US"/>
        </w:rPr>
        <w:t>Mahidol</w:t>
      </w:r>
      <w:proofErr w:type="spellEnd"/>
      <w:r w:rsidRPr="00D26423">
        <w:rPr>
          <w:lang w:val="en-US"/>
        </w:rPr>
        <w:t xml:space="preserve"> University; Chinese University of Hong Kong; UN Thailand Country Team; UN Independent Expert; Office of the High Commissioner for Human Rights; United Nations Development </w:t>
      </w:r>
      <w:proofErr w:type="spellStart"/>
      <w:r w:rsidRPr="00D26423">
        <w:rPr>
          <w:lang w:val="en-US"/>
        </w:rPr>
        <w:t>Programme</w:t>
      </w:r>
      <w:proofErr w:type="spellEnd"/>
      <w:r w:rsidRPr="00D26423">
        <w:rPr>
          <w:lang w:val="en-US"/>
        </w:rPr>
        <w:t xml:space="preserve">; United Nations Population Fund; United Nations </w:t>
      </w:r>
      <w:proofErr w:type="spellStart"/>
      <w:r w:rsidRPr="00D26423">
        <w:rPr>
          <w:lang w:val="en-US"/>
        </w:rPr>
        <w:t>Programme</w:t>
      </w:r>
      <w:proofErr w:type="spellEnd"/>
      <w:r w:rsidRPr="00D26423">
        <w:rPr>
          <w:lang w:val="en-US"/>
        </w:rPr>
        <w:t xml:space="preserve"> on HIV/AIDS; UN Women;</w:t>
      </w:r>
    </w:p>
    <w:p w14:paraId="78D47577" w14:textId="5C57F41B" w:rsidR="0075434A" w:rsidRPr="006F5413" w:rsidRDefault="0075434A" w:rsidP="006F5413">
      <w:pPr>
        <w:pStyle w:val="ListBulletNoIndent"/>
        <w:rPr>
          <w:spacing w:val="-4"/>
          <w:lang w:val="en-US"/>
        </w:rPr>
      </w:pPr>
      <w:r w:rsidRPr="006F5413">
        <w:rPr>
          <w:spacing w:val="-4"/>
          <w:lang w:val="en-US"/>
        </w:rPr>
        <w:t xml:space="preserve">Representatives of civil society including APCOM Foundation; ARC International; ASEAN SOGIE Caucus; Asia Pacific Transgender Network; </w:t>
      </w:r>
      <w:proofErr w:type="spellStart"/>
      <w:r w:rsidRPr="006F5413">
        <w:rPr>
          <w:spacing w:val="-4"/>
          <w:lang w:val="en-US"/>
        </w:rPr>
        <w:t>Bandhu</w:t>
      </w:r>
      <w:proofErr w:type="spellEnd"/>
      <w:r w:rsidRPr="006F5413">
        <w:rPr>
          <w:spacing w:val="-4"/>
          <w:lang w:val="en-US"/>
        </w:rPr>
        <w:t xml:space="preserve"> Social Welfare Society; Blue Diamond Society; </w:t>
      </w:r>
      <w:proofErr w:type="spellStart"/>
      <w:r w:rsidRPr="006F5413">
        <w:rPr>
          <w:spacing w:val="-4"/>
          <w:lang w:val="en-US"/>
        </w:rPr>
        <w:t>Buku</w:t>
      </w:r>
      <w:proofErr w:type="spellEnd"/>
      <w:r w:rsidRPr="006F5413">
        <w:rPr>
          <w:spacing w:val="-4"/>
          <w:lang w:val="en-US"/>
        </w:rPr>
        <w:t xml:space="preserve"> Books; </w:t>
      </w:r>
      <w:proofErr w:type="spellStart"/>
      <w:r w:rsidRPr="006F5413">
        <w:rPr>
          <w:spacing w:val="-4"/>
          <w:lang w:val="en-US"/>
        </w:rPr>
        <w:t>CamASEAN</w:t>
      </w:r>
      <w:proofErr w:type="spellEnd"/>
      <w:r w:rsidRPr="006F5413">
        <w:rPr>
          <w:spacing w:val="-4"/>
          <w:lang w:val="en-US"/>
        </w:rPr>
        <w:t xml:space="preserve"> Youth’s Future; Common Language; Diverse Voices and Action for Equality Fiji; Fortify Rights; Forum for Dignity Initiatives; </w:t>
      </w:r>
      <w:proofErr w:type="spellStart"/>
      <w:r w:rsidRPr="006F5413">
        <w:rPr>
          <w:spacing w:val="-4"/>
          <w:lang w:val="en-US"/>
        </w:rPr>
        <w:t>GAYa</w:t>
      </w:r>
      <w:proofErr w:type="spellEnd"/>
      <w:r w:rsidRPr="006F5413">
        <w:rPr>
          <w:spacing w:val="-4"/>
          <w:lang w:val="en-US"/>
        </w:rPr>
        <w:t xml:space="preserve"> NUSANTARA; Global Action for Trans Equality; Global Forum on MSM and HIV; Health, Education and Research Association (H.E.R.A); Human Rights Law Center; Human Rights Watch; Information, Connecting and Sharing Center; International Service for Human Rights; Island of Southeast Asia Network on Male and Transgender Sexual Health; Korean Society of Law and Policy on Sexual Orientation and Gender Identity; </w:t>
      </w:r>
      <w:proofErr w:type="spellStart"/>
      <w:r w:rsidRPr="006F5413">
        <w:rPr>
          <w:spacing w:val="-4"/>
          <w:lang w:val="en-US"/>
        </w:rPr>
        <w:t>Manushya</w:t>
      </w:r>
      <w:proofErr w:type="spellEnd"/>
      <w:r w:rsidRPr="006F5413">
        <w:rPr>
          <w:spacing w:val="-4"/>
          <w:lang w:val="en-US"/>
        </w:rPr>
        <w:t xml:space="preserve"> Foundation; National Transgender People Alliance of Myanmar (NTPAM); OII Australia/Intersex Day Project/Global Action for Trans Equality; OII Chinese; </w:t>
      </w:r>
      <w:proofErr w:type="spellStart"/>
      <w:r w:rsidRPr="006F5413">
        <w:rPr>
          <w:spacing w:val="-4"/>
          <w:lang w:val="en-US"/>
        </w:rPr>
        <w:t>OutRight</w:t>
      </w:r>
      <w:proofErr w:type="spellEnd"/>
      <w:r w:rsidRPr="006F5413">
        <w:rPr>
          <w:spacing w:val="-4"/>
          <w:lang w:val="en-US"/>
        </w:rPr>
        <w:t xml:space="preserve"> Action International; ASEAN SOGIE Caucus; </w:t>
      </w:r>
      <w:proofErr w:type="spellStart"/>
      <w:r w:rsidRPr="006F5413">
        <w:rPr>
          <w:spacing w:val="-4"/>
          <w:lang w:val="en-US"/>
        </w:rPr>
        <w:t>OutRight</w:t>
      </w:r>
      <w:proofErr w:type="spellEnd"/>
      <w:r w:rsidRPr="006F5413">
        <w:rPr>
          <w:spacing w:val="-4"/>
          <w:lang w:val="en-US"/>
        </w:rPr>
        <w:t xml:space="preserve"> Action International; Pacific Sexual Diversity Network &amp; Rainbow Pride Foundation; PELANGI – Campaign for Equality and Human Rights Initiative; People Like Us </w:t>
      </w:r>
      <w:proofErr w:type="spellStart"/>
      <w:r w:rsidRPr="006F5413">
        <w:rPr>
          <w:spacing w:val="-4"/>
          <w:lang w:val="en-US"/>
        </w:rPr>
        <w:t>Satu</w:t>
      </w:r>
      <w:proofErr w:type="spellEnd"/>
      <w:r w:rsidRPr="006F5413">
        <w:rPr>
          <w:spacing w:val="-4"/>
          <w:lang w:val="en-US"/>
        </w:rPr>
        <w:t xml:space="preserve"> </w:t>
      </w:r>
      <w:proofErr w:type="spellStart"/>
      <w:r w:rsidRPr="006F5413">
        <w:rPr>
          <w:spacing w:val="-4"/>
          <w:lang w:val="en-US"/>
        </w:rPr>
        <w:t>Hati</w:t>
      </w:r>
      <w:proofErr w:type="spellEnd"/>
      <w:r w:rsidRPr="006F5413">
        <w:rPr>
          <w:spacing w:val="-4"/>
          <w:lang w:val="en-US"/>
        </w:rPr>
        <w:t xml:space="preserve">; Planet Ally; Samoa </w:t>
      </w:r>
      <w:proofErr w:type="spellStart"/>
      <w:r w:rsidRPr="006F5413">
        <w:rPr>
          <w:spacing w:val="-4"/>
          <w:lang w:val="en-US"/>
        </w:rPr>
        <w:t>Fa’afafine</w:t>
      </w:r>
      <w:proofErr w:type="spellEnd"/>
      <w:r w:rsidRPr="006F5413">
        <w:rPr>
          <w:spacing w:val="-4"/>
          <w:lang w:val="en-US"/>
        </w:rPr>
        <w:t xml:space="preserve"> Association Inc.; </w:t>
      </w:r>
      <w:proofErr w:type="spellStart"/>
      <w:r w:rsidRPr="006F5413">
        <w:rPr>
          <w:spacing w:val="-4"/>
          <w:lang w:val="en-US"/>
        </w:rPr>
        <w:t>Sampoorna</w:t>
      </w:r>
      <w:proofErr w:type="spellEnd"/>
      <w:r w:rsidRPr="006F5413">
        <w:rPr>
          <w:spacing w:val="-4"/>
          <w:lang w:val="en-US"/>
        </w:rPr>
        <w:t xml:space="preserve"> India; </w:t>
      </w:r>
      <w:proofErr w:type="spellStart"/>
      <w:r w:rsidRPr="006F5413">
        <w:rPr>
          <w:spacing w:val="-4"/>
          <w:lang w:val="en-US"/>
        </w:rPr>
        <w:t>Sangsan</w:t>
      </w:r>
      <w:proofErr w:type="spellEnd"/>
      <w:r w:rsidRPr="006F5413">
        <w:rPr>
          <w:spacing w:val="-4"/>
          <w:lang w:val="en-US"/>
        </w:rPr>
        <w:t xml:space="preserve"> </w:t>
      </w:r>
      <w:proofErr w:type="spellStart"/>
      <w:r w:rsidRPr="006F5413">
        <w:rPr>
          <w:spacing w:val="-4"/>
          <w:lang w:val="en-US"/>
        </w:rPr>
        <w:t>Anakot</w:t>
      </w:r>
      <w:proofErr w:type="spellEnd"/>
      <w:r w:rsidRPr="006F5413">
        <w:rPr>
          <w:spacing w:val="-4"/>
          <w:lang w:val="en-US"/>
        </w:rPr>
        <w:t xml:space="preserve"> </w:t>
      </w:r>
      <w:proofErr w:type="spellStart"/>
      <w:r w:rsidRPr="006F5413">
        <w:rPr>
          <w:spacing w:val="-4"/>
          <w:lang w:val="en-US"/>
        </w:rPr>
        <w:t>Yawachon</w:t>
      </w:r>
      <w:proofErr w:type="spellEnd"/>
      <w:r w:rsidRPr="006F5413">
        <w:rPr>
          <w:spacing w:val="-4"/>
          <w:lang w:val="en-US"/>
        </w:rPr>
        <w:t xml:space="preserve"> Development Project; Sexuality Policy Watch; TIP for Human Rights in Nigeria; </w:t>
      </w:r>
      <w:proofErr w:type="spellStart"/>
      <w:r w:rsidRPr="006F5413">
        <w:rPr>
          <w:spacing w:val="-4"/>
          <w:lang w:val="en-US"/>
        </w:rPr>
        <w:t>Venasa</w:t>
      </w:r>
      <w:proofErr w:type="spellEnd"/>
      <w:r w:rsidRPr="006F5413">
        <w:rPr>
          <w:spacing w:val="-4"/>
          <w:lang w:val="en-US"/>
        </w:rPr>
        <w:t xml:space="preserve"> Transgender Network; Y</w:t>
      </w:r>
      <w:r w:rsidR="008E4814">
        <w:rPr>
          <w:spacing w:val="-4"/>
          <w:lang w:val="en-US"/>
        </w:rPr>
        <w:t>outh Voices Count.</w:t>
      </w:r>
    </w:p>
    <w:p w14:paraId="75226DF6" w14:textId="44E16D94" w:rsidR="006F5413" w:rsidRDefault="0075434A" w:rsidP="006F5413">
      <w:r w:rsidRPr="006F5413">
        <w:t xml:space="preserve">A full list of participants is included in </w:t>
      </w:r>
      <w:r w:rsidR="006F5413">
        <w:t>Appendix</w:t>
      </w:r>
      <w:r w:rsidRPr="006F5413">
        <w:t xml:space="preserve"> 2.</w:t>
      </w:r>
      <w:r w:rsidR="006F5413">
        <w:br w:type="page"/>
      </w:r>
    </w:p>
    <w:p w14:paraId="754761A1" w14:textId="2E57888D" w:rsidR="0075434A" w:rsidRPr="00B068A2" w:rsidRDefault="006F5413" w:rsidP="006F5413">
      <w:pPr>
        <w:pStyle w:val="Heading1"/>
      </w:pPr>
      <w:bookmarkStart w:id="45" w:name="_Toc489441312"/>
      <w:bookmarkStart w:id="46" w:name="_Toc491332764"/>
      <w:bookmarkStart w:id="47" w:name="_Toc418084663"/>
      <w:r>
        <w:lastRenderedPageBreak/>
        <w:t>4.</w:t>
      </w:r>
      <w:r>
        <w:tab/>
      </w:r>
      <w:r w:rsidR="0075434A" w:rsidRPr="00B068A2">
        <w:t>Summary of proceedings</w:t>
      </w:r>
      <w:r>
        <w:t xml:space="preserve"> – Day 1</w:t>
      </w:r>
      <w:bookmarkEnd w:id="45"/>
      <w:bookmarkEnd w:id="46"/>
    </w:p>
    <w:p w14:paraId="69D91E24" w14:textId="7841B738" w:rsidR="0075434A" w:rsidRPr="00B068A2" w:rsidRDefault="0075434A" w:rsidP="006F5413">
      <w:r w:rsidRPr="00B068A2">
        <w:t xml:space="preserve">The Conference sessions ran for </w:t>
      </w:r>
      <w:r w:rsidR="006F5413">
        <w:t>two</w:t>
      </w:r>
      <w:r w:rsidRPr="00B068A2">
        <w:t xml:space="preserve"> days – with keynote speeches, panel discussions and working groups. The summary of outcomes for individual sessions are presented below in the order of proceedings. </w:t>
      </w:r>
    </w:p>
    <w:p w14:paraId="42989190" w14:textId="77777777" w:rsidR="0075434A" w:rsidRPr="00B068A2" w:rsidRDefault="0075434A" w:rsidP="00701490">
      <w:pPr>
        <w:pStyle w:val="Heading2"/>
      </w:pPr>
      <w:bookmarkStart w:id="48" w:name="_Toc489441313"/>
      <w:bookmarkStart w:id="49" w:name="_Toc491332765"/>
      <w:bookmarkEnd w:id="47"/>
      <w:r w:rsidRPr="00B068A2">
        <w:t>Session 1: Conference welcome session</w:t>
      </w:r>
      <w:bookmarkEnd w:id="48"/>
      <w:bookmarkEnd w:id="49"/>
    </w:p>
    <w:p w14:paraId="0091229C" w14:textId="6D048DE5" w:rsidR="008E4814" w:rsidRPr="00866CFB" w:rsidRDefault="008E4814" w:rsidP="00B61044">
      <w:pPr>
        <w:pStyle w:val="TextBoxFirstLine"/>
        <w:spacing w:after="120"/>
        <w:rPr>
          <w:b/>
          <w:bCs/>
          <w:sz w:val="20"/>
          <w:szCs w:val="20"/>
        </w:rPr>
      </w:pPr>
      <w:r w:rsidRPr="00866CFB">
        <w:rPr>
          <w:b/>
          <w:bCs/>
          <w:sz w:val="20"/>
          <w:szCs w:val="20"/>
        </w:rPr>
        <w:t>Welcome to Thailand</w:t>
      </w:r>
      <w:r w:rsidR="00B61044" w:rsidRPr="00866CFB">
        <w:rPr>
          <w:b/>
          <w:bCs/>
          <w:sz w:val="20"/>
          <w:szCs w:val="20"/>
        </w:rPr>
        <w:br/>
      </w:r>
      <w:r w:rsidRPr="00866CFB">
        <w:rPr>
          <w:sz w:val="20"/>
          <w:szCs w:val="20"/>
        </w:rPr>
        <w:t xml:space="preserve">Nada </w:t>
      </w:r>
      <w:proofErr w:type="spellStart"/>
      <w:r w:rsidRPr="00866CFB">
        <w:rPr>
          <w:sz w:val="20"/>
          <w:szCs w:val="20"/>
        </w:rPr>
        <w:t>Chaiyajit</w:t>
      </w:r>
      <w:proofErr w:type="spellEnd"/>
      <w:r w:rsidRPr="00866CFB">
        <w:rPr>
          <w:sz w:val="20"/>
          <w:szCs w:val="20"/>
        </w:rPr>
        <w:t xml:space="preserve">, Human Rights Advocacy </w:t>
      </w:r>
      <w:r w:rsidR="00B61044" w:rsidRPr="00866CFB">
        <w:rPr>
          <w:sz w:val="20"/>
          <w:szCs w:val="20"/>
        </w:rPr>
        <w:t>and</w:t>
      </w:r>
      <w:r w:rsidRPr="00866CFB">
        <w:rPr>
          <w:sz w:val="20"/>
          <w:szCs w:val="20"/>
        </w:rPr>
        <w:t xml:space="preserve"> Capacity Building Coordinator, </w:t>
      </w:r>
      <w:proofErr w:type="spellStart"/>
      <w:r w:rsidRPr="00866CFB">
        <w:rPr>
          <w:sz w:val="20"/>
          <w:szCs w:val="20"/>
        </w:rPr>
        <w:t>Manushya</w:t>
      </w:r>
      <w:proofErr w:type="spellEnd"/>
      <w:r w:rsidRPr="00866CFB">
        <w:rPr>
          <w:sz w:val="20"/>
          <w:szCs w:val="20"/>
        </w:rPr>
        <w:t xml:space="preserve"> Foundation </w:t>
      </w:r>
    </w:p>
    <w:p w14:paraId="49B78805" w14:textId="0163FD72" w:rsidR="008E4814" w:rsidRPr="00866CFB" w:rsidRDefault="008E4814" w:rsidP="00F7355D">
      <w:pPr>
        <w:spacing w:after="120"/>
        <w:rPr>
          <w:sz w:val="20"/>
          <w:szCs w:val="20"/>
        </w:rPr>
      </w:pPr>
      <w:r w:rsidRPr="00866CFB">
        <w:rPr>
          <w:b/>
          <w:sz w:val="20"/>
          <w:szCs w:val="20"/>
        </w:rPr>
        <w:t>Opening remarks</w:t>
      </w:r>
      <w:r w:rsidR="00B61044" w:rsidRPr="00866CFB">
        <w:rPr>
          <w:b/>
          <w:sz w:val="20"/>
          <w:szCs w:val="20"/>
        </w:rPr>
        <w:br/>
      </w:r>
      <w:r w:rsidRPr="00866CFB">
        <w:rPr>
          <w:sz w:val="20"/>
          <w:szCs w:val="20"/>
        </w:rPr>
        <w:t xml:space="preserve">Caitlin </w:t>
      </w:r>
      <w:proofErr w:type="spellStart"/>
      <w:r w:rsidRPr="00866CFB">
        <w:rPr>
          <w:sz w:val="20"/>
          <w:szCs w:val="20"/>
        </w:rPr>
        <w:t>Wiesen</w:t>
      </w:r>
      <w:proofErr w:type="spellEnd"/>
      <w:r w:rsidRPr="00866CFB">
        <w:rPr>
          <w:sz w:val="20"/>
          <w:szCs w:val="20"/>
        </w:rPr>
        <w:t xml:space="preserve">, Chief, Regional Policy and Programme Support for Asia </w:t>
      </w:r>
      <w:r w:rsidR="00B61044" w:rsidRPr="00866CFB">
        <w:rPr>
          <w:sz w:val="20"/>
          <w:szCs w:val="20"/>
        </w:rPr>
        <w:t>and</w:t>
      </w:r>
      <w:r w:rsidRPr="00866CFB">
        <w:rPr>
          <w:sz w:val="20"/>
          <w:szCs w:val="20"/>
        </w:rPr>
        <w:t xml:space="preserve"> the Pacific, UNDP Bangkok Regional Hub </w:t>
      </w:r>
    </w:p>
    <w:p w14:paraId="20E9F96A" w14:textId="73FEA719" w:rsidR="008E4814" w:rsidRPr="00866CFB" w:rsidRDefault="008E4814" w:rsidP="00B61044">
      <w:pPr>
        <w:spacing w:before="120" w:after="120"/>
        <w:rPr>
          <w:sz w:val="20"/>
          <w:szCs w:val="20"/>
        </w:rPr>
      </w:pPr>
      <w:r w:rsidRPr="00866CFB">
        <w:rPr>
          <w:sz w:val="20"/>
          <w:szCs w:val="20"/>
        </w:rPr>
        <w:t xml:space="preserve">Mohammed </w:t>
      </w:r>
      <w:proofErr w:type="spellStart"/>
      <w:r w:rsidRPr="00866CFB">
        <w:rPr>
          <w:sz w:val="20"/>
          <w:szCs w:val="20"/>
        </w:rPr>
        <w:t>Nurkhoiron</w:t>
      </w:r>
      <w:proofErr w:type="spellEnd"/>
      <w:r w:rsidRPr="00866CFB">
        <w:rPr>
          <w:sz w:val="20"/>
          <w:szCs w:val="20"/>
        </w:rPr>
        <w:t>, Commissioner, Indonesian Commission on Human Rights</w:t>
      </w:r>
    </w:p>
    <w:p w14:paraId="4B1229EE" w14:textId="77777777" w:rsidR="008E4814" w:rsidRPr="00866CFB" w:rsidRDefault="008E4814" w:rsidP="00B61044">
      <w:pPr>
        <w:spacing w:before="120" w:after="120"/>
        <w:rPr>
          <w:sz w:val="20"/>
          <w:szCs w:val="20"/>
        </w:rPr>
      </w:pPr>
      <w:r w:rsidRPr="00866CFB">
        <w:rPr>
          <w:sz w:val="20"/>
          <w:szCs w:val="20"/>
        </w:rPr>
        <w:t>Pip Dargan, Deputy Director, Asia Pacific Forum of National Human Rights Institutions</w:t>
      </w:r>
    </w:p>
    <w:p w14:paraId="12DF61CF" w14:textId="49D624A9" w:rsidR="008E4814" w:rsidRPr="00866CFB" w:rsidRDefault="008E4814" w:rsidP="00F7355D">
      <w:pPr>
        <w:pStyle w:val="TextBoxLastLine"/>
        <w:rPr>
          <w:sz w:val="20"/>
          <w:szCs w:val="20"/>
        </w:rPr>
      </w:pPr>
      <w:r w:rsidRPr="00866CFB">
        <w:rPr>
          <w:b/>
          <w:sz w:val="20"/>
          <w:szCs w:val="20"/>
        </w:rPr>
        <w:t>Moderator</w:t>
      </w:r>
      <w:r w:rsidR="00B61044" w:rsidRPr="00866CFB">
        <w:rPr>
          <w:b/>
          <w:sz w:val="20"/>
          <w:szCs w:val="20"/>
        </w:rPr>
        <w:br/>
      </w:r>
      <w:r w:rsidRPr="00866CFB">
        <w:rPr>
          <w:sz w:val="20"/>
          <w:szCs w:val="20"/>
        </w:rPr>
        <w:t>Nadia Rasheed, Team Leader, HIV, Health, and Development, UNDP Bangkok Regional Hub</w:t>
      </w:r>
    </w:p>
    <w:p w14:paraId="36B5BAB1" w14:textId="523DD81B" w:rsidR="0075434A" w:rsidRPr="00B068A2" w:rsidRDefault="0075434A" w:rsidP="00F7355D">
      <w:pPr>
        <w:pStyle w:val="Normalspacebefore"/>
      </w:pPr>
      <w:r w:rsidRPr="00B068A2">
        <w:t xml:space="preserve">In her remarks, Nada </w:t>
      </w:r>
      <w:proofErr w:type="spellStart"/>
      <w:r w:rsidRPr="00B068A2">
        <w:t>Chaiyajit</w:t>
      </w:r>
      <w:proofErr w:type="spellEnd"/>
      <w:r w:rsidRPr="00B068A2">
        <w:t xml:space="preserve"> highlighted that the conference provide</w:t>
      </w:r>
      <w:r>
        <w:t>d</w:t>
      </w:r>
      <w:r w:rsidRPr="00B068A2">
        <w:t xml:space="preserve"> a valuable opportunity for all participants </w:t>
      </w:r>
      <w:r w:rsidRPr="006F5413">
        <w:t>to</w:t>
      </w:r>
      <w:r w:rsidRPr="00B068A2">
        <w:t xml:space="preserve"> reflect on the impact of the Yogyakarta Principles. She challenged and questioned participants about the effectiveness of advocacy programmes in using the language and tools of the Yogyakarta Principles in the past 10 years. The need to strengthen the use of the principles were highlighted, indicating that often only the ‘experts’ seem to know what i</w:t>
      </w:r>
      <w:r>
        <w:t>s</w:t>
      </w:r>
      <w:r w:rsidRPr="00B068A2">
        <w:t xml:space="preserve"> in Yogyakarta Principles, while most human rights advocates, NGOs and members of the public remain inadequately informed of its provisions. Therefore, the urgency to put a more concerted effort to empower people on the ground to pressure the governments to change their attitudes towards the LGBTI communit</w:t>
      </w:r>
      <w:r>
        <w:t>ies</w:t>
      </w:r>
      <w:r w:rsidRPr="00B068A2">
        <w:t xml:space="preserve"> was acknowledged. She concluded her remarks by emphas</w:t>
      </w:r>
      <w:r>
        <w:t>is</w:t>
      </w:r>
      <w:r w:rsidRPr="00B068A2">
        <w:t>ing that ‘change starts with us’ and, therefore, all LGBTI advocates must step up their calls for action</w:t>
      </w:r>
      <w:r w:rsidR="007F728D">
        <w:t>.</w:t>
      </w:r>
    </w:p>
    <w:p w14:paraId="74C7F1D6" w14:textId="77777777" w:rsidR="0075434A" w:rsidRPr="00B068A2" w:rsidRDefault="0075434A" w:rsidP="006F5413">
      <w:r w:rsidRPr="00B068A2">
        <w:t xml:space="preserve">Caitlin </w:t>
      </w:r>
      <w:proofErr w:type="spellStart"/>
      <w:r w:rsidRPr="00B068A2">
        <w:t>Wiesen</w:t>
      </w:r>
      <w:proofErr w:type="spellEnd"/>
      <w:r w:rsidRPr="00B068A2">
        <w:t xml:space="preserve"> spelled out the strengths and opportunities provided by the Yogyakarta Principles and the need to explore opportunities to further supplement the principles for future application. She also provided examples of progress</w:t>
      </w:r>
      <w:r>
        <w:t xml:space="preserve"> in</w:t>
      </w:r>
      <w:r w:rsidRPr="00B068A2">
        <w:t xml:space="preserve"> many countries in the region, including legal, judicial and administrative developments. These </w:t>
      </w:r>
      <w:r w:rsidRPr="006F5413">
        <w:t>developments</w:t>
      </w:r>
      <w:r w:rsidRPr="00B068A2">
        <w:t xml:space="preserve"> and progress were made possible through</w:t>
      </w:r>
      <w:r>
        <w:t xml:space="preserve"> the</w:t>
      </w:r>
      <w:r w:rsidRPr="00B068A2">
        <w:t xml:space="preserve"> commitment and sacrifice of many individuals. She also highlighted that many challenges remain to be addressed including the growing violence and human rights violations targeted towards individuals and various forms of discrimination, homophobia, and transphobia. The shrinking space for civil society activism in some parts of the world exacerbates these challenges and reduces the opportunity to bring about positive change. </w:t>
      </w:r>
    </w:p>
    <w:p w14:paraId="3595A145" w14:textId="77777777" w:rsidR="0075434A" w:rsidRPr="00B068A2" w:rsidRDefault="0075434A" w:rsidP="006F5413">
      <w:r w:rsidRPr="00B068A2">
        <w:t xml:space="preserve">The need for creating more education and awareness in the area of </w:t>
      </w:r>
      <w:r>
        <w:t>SOGIESC</w:t>
      </w:r>
      <w:r w:rsidRPr="00B068A2">
        <w:t xml:space="preserve"> and </w:t>
      </w:r>
      <w:r>
        <w:t xml:space="preserve">around </w:t>
      </w:r>
      <w:r w:rsidRPr="00B068A2">
        <w:t xml:space="preserve">LGBTI </w:t>
      </w:r>
      <w:r>
        <w:t xml:space="preserve">issues </w:t>
      </w:r>
      <w:r w:rsidRPr="00B068A2">
        <w:t>and support to end stigma and violence perpetrated towards LGBTI communit</w:t>
      </w:r>
      <w:r>
        <w:t>ies</w:t>
      </w:r>
      <w:r w:rsidRPr="00B068A2">
        <w:t xml:space="preserve"> was reiterated. By the same token, enhancing efforts to ensure better </w:t>
      </w:r>
      <w:r w:rsidRPr="006F5413">
        <w:t>access</w:t>
      </w:r>
      <w:r w:rsidRPr="00B068A2">
        <w:t xml:space="preserve"> to healthcare and social services for the </w:t>
      </w:r>
      <w:r>
        <w:t xml:space="preserve">LGBTI communities was identified. </w:t>
      </w:r>
      <w:r w:rsidRPr="00B068A2">
        <w:t>The idea of creating more research output on the economic and business impact of LGBTI rights was recogn</w:t>
      </w:r>
      <w:r>
        <w:t>is</w:t>
      </w:r>
      <w:r w:rsidRPr="00B068A2">
        <w:t>ed. To this effect, linking the guiding principles of the Sustainable Development Goals (SDGs) to the protection of the vulnerable and marginal</w:t>
      </w:r>
      <w:r>
        <w:t>is</w:t>
      </w:r>
      <w:r w:rsidRPr="00B068A2">
        <w:t>ed could be used a</w:t>
      </w:r>
      <w:r>
        <w:t>s a</w:t>
      </w:r>
      <w:r w:rsidRPr="00B068A2">
        <w:t xml:space="preserve"> viable platform for promoting the human rights aspirations of the Yogyakarta Principles. </w:t>
      </w:r>
    </w:p>
    <w:p w14:paraId="485897BA" w14:textId="77777777" w:rsidR="0075434A" w:rsidRPr="006F5413" w:rsidRDefault="0075434A" w:rsidP="006F5413">
      <w:r w:rsidRPr="006F5413">
        <w:lastRenderedPageBreak/>
        <w:t xml:space="preserve">The increasing challenges faced by the LGBTI communities in many parts of the world were marked by many speakers, including Muhammad </w:t>
      </w:r>
      <w:proofErr w:type="spellStart"/>
      <w:r w:rsidRPr="006F5413">
        <w:t>Nukhhoiron</w:t>
      </w:r>
      <w:proofErr w:type="spellEnd"/>
      <w:r w:rsidRPr="006F5413">
        <w:t>, who spoke about specific incidences of growing anti-LGBTI sentiments in Indonesia. LGBTI defenders and human rights activists have been targeted and traumatised in recent years. He expressed his hope that this forum will enhance efforts to strengthen the movement of LGBTI rights and provide better protection for advocates.</w:t>
      </w:r>
    </w:p>
    <w:p w14:paraId="09C1953D" w14:textId="77777777" w:rsidR="0075434A" w:rsidRPr="006F5413" w:rsidRDefault="0075434A" w:rsidP="006F5413">
      <w:r w:rsidRPr="006F5413">
        <w:t>By reiterating the purpose of the conference in stimulating ideas and discussions on further supplementing the Yogyakarta Principles and potential future directions, Pip Dargan emphasised the roles and responsibilities of NHRIs in promoting and protecting the human rights of the LGBTI community. She stressed the need of prioritising and enhancing the effectiveness of NHRI efforts, and made reference to the recommendations of the Advisory Council of Jurists (ACJ).</w:t>
      </w:r>
      <w:r w:rsidRPr="006F5413">
        <w:rPr>
          <w:rStyle w:val="FootnoteReference"/>
        </w:rPr>
        <w:footnoteReference w:id="6"/>
      </w:r>
      <w:r w:rsidRPr="006F5413">
        <w:t xml:space="preserve"> The recommendations covered capacity-building, research, education, promotion and dialogue, monitoring, advocacy and the support of the APF.</w:t>
      </w:r>
      <w:r w:rsidRPr="006F5413">
        <w:rPr>
          <w:rStyle w:val="FootnoteReference"/>
        </w:rPr>
        <w:footnoteReference w:id="7"/>
      </w:r>
      <w:r w:rsidRPr="006F5413">
        <w:t xml:space="preserve"> The continued efforts of APF in increasing the level of education and awareness on the Yogyakarta Principles and LGBTI rights, including the ongoing blended learning programmes were highlighted.</w:t>
      </w:r>
      <w:r w:rsidRPr="006F5413">
        <w:rPr>
          <w:rStyle w:val="FootnoteReference"/>
        </w:rPr>
        <w:footnoteReference w:id="8"/>
      </w:r>
      <w:r w:rsidRPr="006F5413">
        <w:t xml:space="preserve"> </w:t>
      </w:r>
    </w:p>
    <w:p w14:paraId="6286F064" w14:textId="43E7628D" w:rsidR="0075434A" w:rsidRPr="006F5413" w:rsidRDefault="0075434A" w:rsidP="006F5413">
      <w:r w:rsidRPr="006F5413">
        <w:t>The breadth and consistency of work in relation to LGBTI rights today is identified as a testament to the commitment of the human rights community and demonstrates how much could be achieved in promoting and protecting the human rights of LGBTI people in the next 10 years.</w:t>
      </w:r>
      <w:r w:rsidR="00F3764F">
        <w:t xml:space="preserve"> </w:t>
      </w:r>
      <w:r w:rsidRPr="006F5413">
        <w:t xml:space="preserve">The need to reflect on the rapid advances in technology and social media over the past 10 years, and the future use of such technologies most effectively by many LGBTI individuals, advocates and organisations must be part of our agenda today. </w:t>
      </w:r>
    </w:p>
    <w:p w14:paraId="6DC1251C" w14:textId="77777777" w:rsidR="0075434A" w:rsidRPr="006F5413" w:rsidRDefault="0075434A" w:rsidP="006F5413">
      <w:r w:rsidRPr="006F5413">
        <w:t>The role of NHRIs in working with people, governments, civil society, UN bodies and agencies, judiciaries, medical sector, religious leaders and communities, the international human rights system, and others will be crucial in shaping the future. Such a future will need to be a more inclusive one, based on human dignity, respect and human rights, which can be achieved through many different pathways.</w:t>
      </w:r>
    </w:p>
    <w:p w14:paraId="3355360E" w14:textId="31DD58EB" w:rsidR="006F5413" w:rsidRDefault="0075434A" w:rsidP="0075434A">
      <w:r w:rsidRPr="006F5413">
        <w:t>In the face of growing extremism and an uncertain future in many parts of the world, the need to effectively use the Yogyakarta Principles as a critical launching pad for the activities of LGBTI advocates was accentuated. Concerted efforts by activists and advocates to explore different pathways to ensure the effective realisation of the rights of LGBTI community and sustained programmes to breakdown the various barriers of negative stereotypes and prejudices was emphasised.</w:t>
      </w:r>
    </w:p>
    <w:p w14:paraId="13A8F25C" w14:textId="77777777" w:rsidR="006F5413" w:rsidRDefault="006F5413">
      <w:pPr>
        <w:spacing w:before="0" w:after="0"/>
      </w:pPr>
      <w:r>
        <w:br w:type="page"/>
      </w:r>
    </w:p>
    <w:p w14:paraId="67078216" w14:textId="3BAC4391" w:rsidR="0075434A" w:rsidRPr="00B068A2" w:rsidRDefault="00F7355D" w:rsidP="00701490">
      <w:pPr>
        <w:pStyle w:val="Heading2"/>
      </w:pPr>
      <w:bookmarkStart w:id="50" w:name="_Toc489441314"/>
      <w:bookmarkStart w:id="51" w:name="_Toc491332766"/>
      <w:r>
        <w:lastRenderedPageBreak/>
        <w:t>Session 2: Keynote opening a</w:t>
      </w:r>
      <w:r w:rsidR="0075434A" w:rsidRPr="00B068A2">
        <w:t>ddress</w:t>
      </w:r>
      <w:bookmarkEnd w:id="50"/>
      <w:bookmarkEnd w:id="51"/>
    </w:p>
    <w:p w14:paraId="58AB335D" w14:textId="47E85C1C" w:rsidR="00F7355D" w:rsidRPr="00F7355D" w:rsidRDefault="00F7355D" w:rsidP="00F7355D">
      <w:pPr>
        <w:pStyle w:val="TextBoxFirstLine"/>
        <w:spacing w:after="120"/>
        <w:rPr>
          <w:sz w:val="20"/>
          <w:szCs w:val="20"/>
        </w:rPr>
      </w:pPr>
      <w:r w:rsidRPr="00F7355D">
        <w:rPr>
          <w:b/>
          <w:sz w:val="20"/>
          <w:szCs w:val="20"/>
        </w:rPr>
        <w:t>Keynote opening address</w:t>
      </w:r>
      <w:r w:rsidRPr="00F7355D">
        <w:rPr>
          <w:sz w:val="20"/>
          <w:szCs w:val="20"/>
        </w:rPr>
        <w:br/>
      </w:r>
      <w:proofErr w:type="spellStart"/>
      <w:r w:rsidRPr="00F7355D">
        <w:rPr>
          <w:sz w:val="20"/>
          <w:szCs w:val="20"/>
        </w:rPr>
        <w:t>Vitit</w:t>
      </w:r>
      <w:proofErr w:type="spellEnd"/>
      <w:r w:rsidRPr="00F7355D">
        <w:rPr>
          <w:sz w:val="20"/>
          <w:szCs w:val="20"/>
        </w:rPr>
        <w:t xml:space="preserve"> </w:t>
      </w:r>
      <w:proofErr w:type="spellStart"/>
      <w:r w:rsidRPr="00F7355D">
        <w:rPr>
          <w:sz w:val="20"/>
          <w:szCs w:val="20"/>
        </w:rPr>
        <w:t>Muntarbhorn</w:t>
      </w:r>
      <w:proofErr w:type="spellEnd"/>
      <w:r w:rsidRPr="00F7355D">
        <w:rPr>
          <w:sz w:val="20"/>
          <w:szCs w:val="20"/>
        </w:rPr>
        <w:t>, UN Independent Expert on Sexual Orientation and Gender Identity</w:t>
      </w:r>
    </w:p>
    <w:p w14:paraId="3ADE6CCC" w14:textId="188C81C5" w:rsidR="00F7355D" w:rsidRPr="00E51B1D" w:rsidRDefault="00F7355D" w:rsidP="00E51B1D">
      <w:pPr>
        <w:pStyle w:val="TextBoxLastLine"/>
        <w:rPr>
          <w:sz w:val="20"/>
          <w:szCs w:val="20"/>
        </w:rPr>
      </w:pPr>
      <w:r w:rsidRPr="00E51B1D">
        <w:rPr>
          <w:b/>
          <w:sz w:val="20"/>
          <w:szCs w:val="20"/>
        </w:rPr>
        <w:t>Moderator</w:t>
      </w:r>
      <w:r w:rsidRPr="00E51B1D">
        <w:rPr>
          <w:b/>
          <w:sz w:val="20"/>
          <w:szCs w:val="20"/>
        </w:rPr>
        <w:br/>
      </w:r>
      <w:r w:rsidRPr="00E51B1D">
        <w:rPr>
          <w:sz w:val="20"/>
          <w:szCs w:val="20"/>
        </w:rPr>
        <w:t>Charles Goddard, Editorial Director, The Economist Intelligence Unit, Asia Pacific</w:t>
      </w:r>
    </w:p>
    <w:p w14:paraId="769C377E" w14:textId="77777777" w:rsidR="0075434A" w:rsidRPr="00B068A2" w:rsidRDefault="0075434A" w:rsidP="00F7355D">
      <w:pPr>
        <w:pStyle w:val="Normalspacebefore"/>
      </w:pPr>
      <w:r w:rsidRPr="00B068A2">
        <w:t xml:space="preserve">Professor Emeritus </w:t>
      </w:r>
      <w:proofErr w:type="spellStart"/>
      <w:r w:rsidRPr="00B068A2">
        <w:t>Vitit</w:t>
      </w:r>
      <w:proofErr w:type="spellEnd"/>
      <w:r w:rsidRPr="00B068A2">
        <w:t xml:space="preserve"> </w:t>
      </w:r>
      <w:proofErr w:type="spellStart"/>
      <w:r w:rsidRPr="00B068A2">
        <w:t>Muntarbhorn</w:t>
      </w:r>
      <w:proofErr w:type="spellEnd"/>
      <w:r w:rsidRPr="00B068A2">
        <w:t xml:space="preserve">, who was one of the co-chairs of the Yogyakarta conference, provided a very detailed background on the nature of the Yogyakarta Principles, and the thinking behind the development of the </w:t>
      </w:r>
      <w:r w:rsidRPr="006F5413">
        <w:t>principles</w:t>
      </w:r>
      <w:r w:rsidRPr="00B068A2">
        <w:t xml:space="preserve">. </w:t>
      </w:r>
      <w:r w:rsidRPr="00445001">
        <w:t>The Principles were developed to articulate how existing human rights law applies to LGBT people and the specificities of their lived realities</w:t>
      </w:r>
      <w:r>
        <w:t>.</w:t>
      </w:r>
      <w:r w:rsidRPr="00445001">
        <w:t xml:space="preserve"> </w:t>
      </w:r>
      <w:r>
        <w:t>Most</w:t>
      </w:r>
      <w:r w:rsidRPr="00B068A2">
        <w:t xml:space="preserve"> importantly, the Principles offered clarity on the existing international law at the time. The </w:t>
      </w:r>
      <w:r>
        <w:t>P</w:t>
      </w:r>
      <w:r w:rsidRPr="00B068A2">
        <w:t>rinciples were not meant to be a constitutive document, but as an indicative document of the status of international law in the current time and context. They promise a different future where all people born free and equal in dignity and rights can fulfil that precious birthright.</w:t>
      </w:r>
    </w:p>
    <w:p w14:paraId="6209CB5E" w14:textId="77777777" w:rsidR="0075434A" w:rsidRPr="00B068A2" w:rsidRDefault="0075434A" w:rsidP="006F5413">
      <w:r w:rsidRPr="00B068A2">
        <w:t>The Principles provided definitions of sexual orientation and gender identity, which are essential in recogn</w:t>
      </w:r>
      <w:r>
        <w:t>is</w:t>
      </w:r>
      <w:r w:rsidRPr="00B068A2">
        <w:t>ing the nature of rights and their application in the context of sexual orientation and gender identity. By definition, sexual orientation is an inherent or enduring emotional, romantic or sexual attraction to other people, while gender identity refers to one’s innermost concept of self as male, female, a blend of both or neither – how individuals perceive themselves and what they call themselves. One's gender identity can be the same or different from their sex assigned at birth.</w:t>
      </w:r>
    </w:p>
    <w:p w14:paraId="2CCBB2E3" w14:textId="77777777" w:rsidR="0075434A" w:rsidRPr="00B068A2" w:rsidRDefault="0075434A" w:rsidP="006F5413">
      <w:r w:rsidRPr="00B068A2">
        <w:t xml:space="preserve">The Yogyakarta Principles include a preamble, 29 principles along with specific recommendations and a list of additional recommendations. The </w:t>
      </w:r>
      <w:r>
        <w:t>P</w:t>
      </w:r>
      <w:r w:rsidRPr="00B068A2">
        <w:t xml:space="preserve">rinciples validate and reaffirm existing rights of individuals, especially in relation to non-discrimination and protection </w:t>
      </w:r>
      <w:r w:rsidRPr="006F5413">
        <w:t>from</w:t>
      </w:r>
      <w:r w:rsidRPr="00B068A2">
        <w:t xml:space="preserve"> violence, on the basis of their sexual orientation or gender identity. The </w:t>
      </w:r>
      <w:r>
        <w:t>Pr</w:t>
      </w:r>
      <w:r w:rsidRPr="00B068A2">
        <w:t xml:space="preserve">inciples also provide useful tools </w:t>
      </w:r>
      <w:r>
        <w:t>on the</w:t>
      </w:r>
      <w:r w:rsidRPr="00B068A2">
        <w:t xml:space="preserve"> application of international human rights law in the context of </w:t>
      </w:r>
      <w:r>
        <w:t>SOGIESC</w:t>
      </w:r>
      <w:r w:rsidRPr="00B068A2">
        <w:t xml:space="preserve">. </w:t>
      </w:r>
    </w:p>
    <w:p w14:paraId="1D9A6ADC" w14:textId="77777777" w:rsidR="0075434A" w:rsidRPr="00B068A2" w:rsidRDefault="0075434A" w:rsidP="006F5413">
      <w:r w:rsidRPr="00B068A2">
        <w:t xml:space="preserve">The Principles afford a systematic understanding of the nature of human rights related to sexual orientation and gender identity, and its impact can be both at the </w:t>
      </w:r>
      <w:r w:rsidRPr="006F5413">
        <w:t>programmatic</w:t>
      </w:r>
      <w:r w:rsidRPr="00B068A2">
        <w:t xml:space="preserve"> and catalytic level. The principles are also powerful tools for advocacy and in the development of jurisprudence. </w:t>
      </w:r>
    </w:p>
    <w:p w14:paraId="48023CD5" w14:textId="77777777" w:rsidR="0075434A" w:rsidRPr="00B068A2" w:rsidRDefault="0075434A" w:rsidP="006F5413">
      <w:r w:rsidRPr="00B068A2">
        <w:t xml:space="preserve">Over the 10 years since the adoption of the Yogyakarta Principles, there have been innumerable stories of both success and failure. While the happy stories of better recognition of </w:t>
      </w:r>
      <w:r>
        <w:t xml:space="preserve">the </w:t>
      </w:r>
      <w:r w:rsidRPr="006F5413">
        <w:t>human</w:t>
      </w:r>
      <w:r>
        <w:t xml:space="preserve"> rights of LGBT</w:t>
      </w:r>
      <w:r w:rsidRPr="00B068A2">
        <w:t xml:space="preserve"> </w:t>
      </w:r>
      <w:r>
        <w:t>people</w:t>
      </w:r>
      <w:r w:rsidRPr="00B068A2">
        <w:t xml:space="preserve"> in many parts of the world including significant court cases abound, there have also been unhappy stories of continued abduction, discrimination, torture and killing of individuals in some parts of the world. Continued longitudinal and multiplied series of violations of </w:t>
      </w:r>
      <w:r>
        <w:t xml:space="preserve">the human rights of </w:t>
      </w:r>
      <w:r w:rsidRPr="00B068A2">
        <w:t xml:space="preserve">LGBTI </w:t>
      </w:r>
      <w:r>
        <w:t>people</w:t>
      </w:r>
      <w:r w:rsidRPr="00B068A2">
        <w:t xml:space="preserve"> are reported from many countries.</w:t>
      </w:r>
      <w:r>
        <w:t xml:space="preserve"> In the face of continued violations of rights of LGBTI people in some societies, the struggle for </w:t>
      </w:r>
      <w:r w:rsidRPr="00B068A2">
        <w:t>equal rights and dignity</w:t>
      </w:r>
      <w:r>
        <w:t xml:space="preserve"> need to be </w:t>
      </w:r>
      <w:r w:rsidRPr="00B068A2">
        <w:t xml:space="preserve">further </w:t>
      </w:r>
      <w:proofErr w:type="spellStart"/>
      <w:r w:rsidRPr="00B068A2">
        <w:t>strateg</w:t>
      </w:r>
      <w:r>
        <w:t>is</w:t>
      </w:r>
      <w:r w:rsidRPr="00B068A2">
        <w:t>ed</w:t>
      </w:r>
      <w:proofErr w:type="spellEnd"/>
      <w:r w:rsidRPr="00B068A2">
        <w:t xml:space="preserve"> to address the</w:t>
      </w:r>
      <w:r>
        <w:t>se</w:t>
      </w:r>
      <w:r w:rsidRPr="00B068A2">
        <w:t xml:space="preserve"> changing realities</w:t>
      </w:r>
      <w:r>
        <w:t>.</w:t>
      </w:r>
    </w:p>
    <w:p w14:paraId="18E49917" w14:textId="77777777" w:rsidR="0075434A" w:rsidRPr="00B068A2" w:rsidRDefault="0075434A" w:rsidP="006F5413">
      <w:r w:rsidRPr="00B068A2">
        <w:t>The intersectionality of</w:t>
      </w:r>
      <w:r>
        <w:t xml:space="preserve"> the</w:t>
      </w:r>
      <w:r w:rsidRPr="00B068A2">
        <w:t xml:space="preserve"> Principles is an important point of discussion. Intersectionality provides a more nuanced approach in capturing the multi-</w:t>
      </w:r>
      <w:r w:rsidRPr="006F5413">
        <w:t>faceted</w:t>
      </w:r>
      <w:r w:rsidRPr="00B068A2">
        <w:t xml:space="preserve"> experiences of oppression, discrimination and violence against LGBTI individuals. Therefore, in order to fully appreciate the lived experience of individuals, it is important to address these multiple dimensions and how they link to each other. </w:t>
      </w:r>
      <w:r>
        <w:t xml:space="preserve">An </w:t>
      </w:r>
      <w:r w:rsidRPr="00B068A2">
        <w:t xml:space="preserve">Intersectional </w:t>
      </w:r>
      <w:r>
        <w:t>lens</w:t>
      </w:r>
      <w:r w:rsidRPr="00B068A2">
        <w:t xml:space="preserve"> must be used to understand how systemic </w:t>
      </w:r>
      <w:r w:rsidRPr="00B068A2">
        <w:lastRenderedPageBreak/>
        <w:t xml:space="preserve">injustice and social inequality occur on a multidimensional basis and how they affect the individuals in various situations and contexts. </w:t>
      </w:r>
    </w:p>
    <w:p w14:paraId="14D1B570" w14:textId="77777777" w:rsidR="0075434A" w:rsidRPr="006F5413" w:rsidRDefault="0075434A" w:rsidP="006F5413">
      <w:r w:rsidRPr="006F5413">
        <w:t xml:space="preserve">There is also a growing need to better understand the relationship of rights addressed in the Principles with other human rights. For example, the rights related to sexual orientation can be better analysed using the international human rights standards in relation to freedom of expression. The other important dimension is to better understand the relationship of the implementation of the Yogyakarta Principles with various state and non-state actors. </w:t>
      </w:r>
    </w:p>
    <w:p w14:paraId="4C2A585D" w14:textId="77777777" w:rsidR="0075434A" w:rsidRPr="006F5413" w:rsidRDefault="0075434A" w:rsidP="006F5413">
      <w:r w:rsidRPr="006F5413">
        <w:t xml:space="preserve">The 10th anniversary provides a crucial opportunity to reflect on the gains made in the last decade and </w:t>
      </w:r>
      <w:proofErr w:type="spellStart"/>
      <w:r w:rsidRPr="006F5413">
        <w:t>strategising</w:t>
      </w:r>
      <w:proofErr w:type="spellEnd"/>
      <w:r w:rsidRPr="006F5413">
        <w:t xml:space="preserve"> action to face continuing challenges. It is thus, imperative that the marketing messages of the Principles are presented holistically, with a special focus on tackling violence and discrimination. There is the need to create a better dialogue with all stakeholders in relation to multiple forms of violations, and work out better mechanisms for cooperation and inter-agency support. </w:t>
      </w:r>
    </w:p>
    <w:p w14:paraId="0F8CB6FD" w14:textId="77777777" w:rsidR="0075434A" w:rsidRPr="006F5413" w:rsidRDefault="0075434A" w:rsidP="006F5413">
      <w:r w:rsidRPr="006F5413">
        <w:t xml:space="preserve">The newly established mandate of the Independent Expert on Protection against Violence and Discrimination based on Sexual Orientation and Gender Identity (IE-SOGI) includes assessing the implementation of existing international human rights instruments with regard to ways to overcome violence and discrimination against persons on the basis of their sexual orientation or gender identity, and to identify and address the root causes of violence and discrimination. As the current mandate-holder, Professor </w:t>
      </w:r>
      <w:proofErr w:type="spellStart"/>
      <w:r w:rsidRPr="006F5413">
        <w:t>Vitit</w:t>
      </w:r>
      <w:proofErr w:type="spellEnd"/>
      <w:r w:rsidRPr="006F5413">
        <w:t xml:space="preserve"> highlighted important ramifications of the mandate and the work of LGBTI advocates. </w:t>
      </w:r>
    </w:p>
    <w:p w14:paraId="2454BB2A" w14:textId="77777777" w:rsidR="0075434A" w:rsidRPr="006F5413" w:rsidRDefault="0075434A" w:rsidP="006F5413">
      <w:r w:rsidRPr="006F5413">
        <w:t xml:space="preserve">Along with the increased moves by some countries to criminalise same-sex relations, there is an increase in the incidence of violence and discrimination. There are also increasing cases of failure of states to recognise issues related to gender identity, and the increasing need to de-stigmatise being LGBTI. Moreover, the socio-cultural and economic exclusion of individuals based on sexual orientation, gender identity, gender expression or sex characteristics has been a serious problem in many parts of the world. However, there is also an increased recognition among scholars and policymakers that such exclusion and discrimination also has a significant economic cost and impact, not only on the individuals, but also on the whole economy. </w:t>
      </w:r>
    </w:p>
    <w:p w14:paraId="5DBD86EE" w14:textId="1B660F64" w:rsidR="0075434A" w:rsidRPr="00F7355D" w:rsidRDefault="0075434A" w:rsidP="00F7355D">
      <w:r w:rsidRPr="006F5413">
        <w:t>More work is needed to increase empathy and understanding of the rights of LGBTI. To this effect, it was highlighted that special advocacy programmes must be directed towards addressing issues of homophobia, transphobia, violence, stigmatisation, honour crimes and honour killings targeted at LGBTI community.</w:t>
      </w:r>
      <w:r w:rsidR="00F3764F">
        <w:t xml:space="preserve"> </w:t>
      </w:r>
      <w:r w:rsidRPr="006F5413">
        <w:t>It was also identified that NHRI and civil society advocates could consider ways to use the Independent Expert’s reports (the first of which was due in June 2017) as another tool in their work.</w:t>
      </w:r>
    </w:p>
    <w:p w14:paraId="4AEE4BED" w14:textId="77777777" w:rsidR="0075434A" w:rsidRDefault="0075434A" w:rsidP="0075434A">
      <w:pPr>
        <w:spacing w:after="160" w:line="259" w:lineRule="auto"/>
      </w:pPr>
      <w:r>
        <w:br w:type="page"/>
      </w:r>
    </w:p>
    <w:p w14:paraId="32E3996B" w14:textId="77777777" w:rsidR="0075434A" w:rsidRDefault="0075434A" w:rsidP="00F7355D">
      <w:pPr>
        <w:pStyle w:val="Heading2"/>
        <w:ind w:left="0" w:firstLine="0"/>
      </w:pPr>
      <w:bookmarkStart w:id="52" w:name="_Toc489441315"/>
      <w:bookmarkStart w:id="53" w:name="_Toc491332767"/>
      <w:r w:rsidRPr="00B068A2">
        <w:lastRenderedPageBreak/>
        <w:t>Session 3: Reflecting on the emergence of the Yogyakarta Principles, its content and application over 10 years</w:t>
      </w:r>
      <w:bookmarkEnd w:id="52"/>
      <w:bookmarkEnd w:id="53"/>
    </w:p>
    <w:p w14:paraId="22BBAA85" w14:textId="19BDEC18" w:rsidR="00F7355D" w:rsidRPr="00F7355D" w:rsidRDefault="00F7355D" w:rsidP="00F7355D">
      <w:pPr>
        <w:pStyle w:val="TextBoxFirstLine"/>
        <w:spacing w:after="120"/>
        <w:rPr>
          <w:sz w:val="20"/>
          <w:szCs w:val="20"/>
        </w:rPr>
      </w:pPr>
      <w:r w:rsidRPr="00F7355D">
        <w:rPr>
          <w:b/>
          <w:sz w:val="20"/>
          <w:szCs w:val="20"/>
        </w:rPr>
        <w:t>Panel members</w:t>
      </w:r>
      <w:r w:rsidRPr="00F7355D">
        <w:rPr>
          <w:sz w:val="20"/>
          <w:szCs w:val="20"/>
        </w:rPr>
        <w:br/>
        <w:t xml:space="preserve">Arvind </w:t>
      </w:r>
      <w:proofErr w:type="spellStart"/>
      <w:r w:rsidRPr="00F7355D">
        <w:rPr>
          <w:sz w:val="20"/>
          <w:szCs w:val="20"/>
        </w:rPr>
        <w:t>Narrain</w:t>
      </w:r>
      <w:proofErr w:type="spellEnd"/>
      <w:r w:rsidRPr="00F7355D">
        <w:rPr>
          <w:sz w:val="20"/>
          <w:szCs w:val="20"/>
        </w:rPr>
        <w:t xml:space="preserve">, Geneva Director, ARC International </w:t>
      </w:r>
    </w:p>
    <w:p w14:paraId="14897F5E" w14:textId="77777777" w:rsidR="00F7355D" w:rsidRPr="00F7355D" w:rsidRDefault="00F7355D" w:rsidP="00F7355D">
      <w:pPr>
        <w:spacing w:before="120" w:after="120"/>
        <w:rPr>
          <w:sz w:val="20"/>
          <w:szCs w:val="20"/>
        </w:rPr>
      </w:pPr>
      <w:r w:rsidRPr="00F7355D">
        <w:rPr>
          <w:sz w:val="20"/>
          <w:szCs w:val="20"/>
        </w:rPr>
        <w:t>Karen Gomez-</w:t>
      </w:r>
      <w:proofErr w:type="spellStart"/>
      <w:r w:rsidRPr="00F7355D">
        <w:rPr>
          <w:sz w:val="20"/>
          <w:szCs w:val="20"/>
        </w:rPr>
        <w:t>Dumpit</w:t>
      </w:r>
      <w:proofErr w:type="spellEnd"/>
      <w:r w:rsidRPr="00F7355D">
        <w:rPr>
          <w:sz w:val="20"/>
          <w:szCs w:val="20"/>
        </w:rPr>
        <w:t xml:space="preserve">, Commissioner, (CHR – Philippines) </w:t>
      </w:r>
    </w:p>
    <w:p w14:paraId="79E804D3" w14:textId="77777777" w:rsidR="00F7355D" w:rsidRPr="00F7355D" w:rsidRDefault="00F7355D" w:rsidP="00F7355D">
      <w:pPr>
        <w:spacing w:before="120"/>
        <w:rPr>
          <w:sz w:val="20"/>
          <w:szCs w:val="20"/>
        </w:rPr>
      </w:pPr>
      <w:r w:rsidRPr="00F7355D">
        <w:rPr>
          <w:sz w:val="20"/>
          <w:szCs w:val="20"/>
        </w:rPr>
        <w:t xml:space="preserve">Sunil </w:t>
      </w:r>
      <w:proofErr w:type="spellStart"/>
      <w:r w:rsidRPr="00F7355D">
        <w:rPr>
          <w:sz w:val="20"/>
          <w:szCs w:val="20"/>
        </w:rPr>
        <w:t>Babu</w:t>
      </w:r>
      <w:proofErr w:type="spellEnd"/>
      <w:r w:rsidRPr="00F7355D">
        <w:rPr>
          <w:sz w:val="20"/>
          <w:szCs w:val="20"/>
        </w:rPr>
        <w:t xml:space="preserve"> Pant, Former Member of Parliament, Nepal </w:t>
      </w:r>
    </w:p>
    <w:p w14:paraId="550DFE06" w14:textId="59296799" w:rsidR="00F7355D" w:rsidRPr="00F7355D" w:rsidRDefault="00F7355D" w:rsidP="00F7355D">
      <w:pPr>
        <w:pStyle w:val="TextBoxLastLine"/>
        <w:rPr>
          <w:sz w:val="20"/>
          <w:szCs w:val="20"/>
        </w:rPr>
      </w:pPr>
      <w:r w:rsidRPr="00F7355D">
        <w:rPr>
          <w:b/>
          <w:sz w:val="20"/>
          <w:szCs w:val="20"/>
        </w:rPr>
        <w:t>Moderator</w:t>
      </w:r>
      <w:r w:rsidRPr="00F7355D">
        <w:rPr>
          <w:b/>
          <w:sz w:val="20"/>
          <w:szCs w:val="20"/>
        </w:rPr>
        <w:br/>
      </w:r>
      <w:r w:rsidRPr="00F7355D">
        <w:rPr>
          <w:sz w:val="20"/>
          <w:szCs w:val="20"/>
        </w:rPr>
        <w:t>Kim Vance, Executive Director, ARC International</w:t>
      </w:r>
    </w:p>
    <w:p w14:paraId="44AB52DD" w14:textId="77777777" w:rsidR="0075434A" w:rsidRPr="006F5413" w:rsidRDefault="0075434A" w:rsidP="00F7355D">
      <w:pPr>
        <w:pStyle w:val="Normalspacebefore"/>
      </w:pPr>
      <w:r w:rsidRPr="006F5413">
        <w:t xml:space="preserve">Kim Vance argued that while the Yogyakarta Principles represented the current status of international law at the time of adoption, the principles must also be seen and treated as aspirational. They provide guidance as to the direction of evolution of international law and the successful experience of its application and best practices must be used to guide future development and supplementation of the principles. The programme of action aspect of the Yogyakarta Principles, which are directed towards states, could be effectively further targeted to lawyers, political parties and religious organisations in order to bring them </w:t>
      </w:r>
      <w:proofErr w:type="spellStart"/>
      <w:r w:rsidRPr="006F5413">
        <w:t>onboard</w:t>
      </w:r>
      <w:proofErr w:type="spellEnd"/>
      <w:r w:rsidRPr="006F5413">
        <w:t>. Supplementary materials such as the Activists’ Guide to the Yogyakarta Principles could be better disseminated and used among the advocates.</w:t>
      </w:r>
    </w:p>
    <w:p w14:paraId="7B96CEA2" w14:textId="75EEDDC3" w:rsidR="0075434A" w:rsidRPr="006F5413" w:rsidRDefault="00F3764F" w:rsidP="006F5413">
      <w:r>
        <w:t>The non-</w:t>
      </w:r>
      <w:r w:rsidR="0075434A" w:rsidRPr="006F5413">
        <w:t xml:space="preserve">attachment of the principles to any organisations was identified as an incredible strength, as the value of the principles rested on the weight of the experts who drafted, developed and signed them. This gives the principles a different kind of legitimacy and a broader level of acceptance. Moreover, given the changing realities on the ground, a new companion (supplement) to the Yogyakarta Principles is envisioned for the near future. </w:t>
      </w:r>
    </w:p>
    <w:p w14:paraId="638221B3" w14:textId="77777777" w:rsidR="0075434A" w:rsidRPr="006F5413" w:rsidRDefault="0075434A" w:rsidP="006F5413">
      <w:r w:rsidRPr="006F5413">
        <w:t xml:space="preserve">Arvind </w:t>
      </w:r>
      <w:proofErr w:type="spellStart"/>
      <w:r w:rsidRPr="006F5413">
        <w:t>Narrain</w:t>
      </w:r>
      <w:proofErr w:type="spellEnd"/>
      <w:r w:rsidRPr="006F5413">
        <w:t xml:space="preserve"> explored some of the central narratives concerning the significance of the Yogyakarta Principles, over 10 years. It was highlighted that at the 10th anniversary, significant challenges remain in terms of its broader acceptance and implementation by states. The ongoing discrimination and violence based on sexual orientation and gender identity sends out a strong message that what happened in the past should not be part of our future.</w:t>
      </w:r>
    </w:p>
    <w:p w14:paraId="1253ABD1" w14:textId="77777777" w:rsidR="0075434A" w:rsidRPr="006F5413" w:rsidRDefault="0075434A" w:rsidP="006F5413">
      <w:r w:rsidRPr="006F5413">
        <w:t xml:space="preserve">The issue of denial of recognition before the law based on sexual orientation and gender identity still remains a problem. It was identified that sexual orientation and gender identity are co-equal markers of discrimination, and often the principle of universality of human rights remains unfulfilled due to such denial of equal rights. </w:t>
      </w:r>
    </w:p>
    <w:p w14:paraId="2EF337F6" w14:textId="77777777" w:rsidR="0075434A" w:rsidRPr="006F5413" w:rsidRDefault="0075434A" w:rsidP="006F5413">
      <w:r w:rsidRPr="006F5413">
        <w:t xml:space="preserve">The issue of privacy also features prominently in the debates surrounding the rights of the LGBTI communities. The right to privacy should be understood and evaluated in terms of the different dimensions in which an individual exercises this right, that is, in different zones in which they move, in their relations with other people and in the </w:t>
      </w:r>
      <w:proofErr w:type="gramStart"/>
      <w:r w:rsidRPr="006F5413">
        <w:t>decisions</w:t>
      </w:r>
      <w:proofErr w:type="gramEnd"/>
      <w:r w:rsidRPr="006F5413">
        <w:t xml:space="preserve"> they make. Privacy should also be seen from the perspective of dignity and the notion of privacy should be fully integrated into the programmes of advocacy on the Principles. In relation to intersex people, the vital importance of protection from medical abuse was also highlighted. </w:t>
      </w:r>
    </w:p>
    <w:p w14:paraId="43B69356" w14:textId="77777777" w:rsidR="0075434A" w:rsidRPr="006F5413" w:rsidRDefault="0075434A" w:rsidP="006F5413">
      <w:r w:rsidRPr="006F5413">
        <w:t>The Yogyakarta Principles also provided a strong basis for the normative evolution of the international human rights regime, in relation to sexual orientation and gender identity. For instance, the principles contributed significantly to the jurisprudential innovation in relation to freedoms and rights such as freedom of expression. To this effect, the Principles provided an important platform for creative legal interpretation of the existing state of international law.</w:t>
      </w:r>
    </w:p>
    <w:p w14:paraId="4E3F2235" w14:textId="77777777" w:rsidR="0075434A" w:rsidRPr="00B068A2" w:rsidRDefault="0075434A" w:rsidP="006F5413">
      <w:r w:rsidRPr="006F5413">
        <w:lastRenderedPageBreak/>
        <w:t>Karen Gomez-</w:t>
      </w:r>
      <w:proofErr w:type="spellStart"/>
      <w:r w:rsidRPr="006F5413">
        <w:t>Dumpit</w:t>
      </w:r>
      <w:proofErr w:type="spellEnd"/>
      <w:r w:rsidRPr="006F5413">
        <w:t xml:space="preserve"> spoke in detail about the experience of the Philippines Human Rights Commission (CHR) in relation to Yogyakarta Principles and SOGIESC in general. Various</w:t>
      </w:r>
      <w:r w:rsidRPr="00B068A2">
        <w:t xml:space="preserve"> programmes of partnerships with the civil society and advocacy for the rights of LGBTI have yielded positive results in many cases. However, some challenges still remain. </w:t>
      </w:r>
    </w:p>
    <w:p w14:paraId="67102E88" w14:textId="77777777" w:rsidR="0075434A" w:rsidRPr="006F5413" w:rsidRDefault="0075434A" w:rsidP="006F5413">
      <w:r w:rsidRPr="006F5413">
        <w:t xml:space="preserve">A case in point is that of </w:t>
      </w:r>
      <w:proofErr w:type="spellStart"/>
      <w:r w:rsidRPr="006F5413">
        <w:t>Ang</w:t>
      </w:r>
      <w:proofErr w:type="spellEnd"/>
      <w:r w:rsidRPr="006F5413">
        <w:t xml:space="preserve"> </w:t>
      </w:r>
      <w:proofErr w:type="spellStart"/>
      <w:r w:rsidRPr="006F5413">
        <w:t>Ladlad</w:t>
      </w:r>
      <w:proofErr w:type="spellEnd"/>
      <w:r w:rsidRPr="006F5413">
        <w:t xml:space="preserve"> vs Commission on Elections. The Commission on Elections denied the petitioner, </w:t>
      </w:r>
      <w:proofErr w:type="spellStart"/>
      <w:r w:rsidRPr="006F5413">
        <w:t>Ang</w:t>
      </w:r>
      <w:proofErr w:type="spellEnd"/>
      <w:r w:rsidRPr="006F5413">
        <w:t xml:space="preserve"> </w:t>
      </w:r>
      <w:proofErr w:type="spellStart"/>
      <w:r w:rsidRPr="006F5413">
        <w:t>Ladlad</w:t>
      </w:r>
      <w:proofErr w:type="spellEnd"/>
      <w:r w:rsidRPr="006F5413">
        <w:t xml:space="preserve">, registration as a political organisation in 2009, basing the decision the fact that </w:t>
      </w:r>
      <w:proofErr w:type="spellStart"/>
      <w:r w:rsidRPr="006F5413">
        <w:t>Ang</w:t>
      </w:r>
      <w:proofErr w:type="spellEnd"/>
      <w:r w:rsidRPr="006F5413">
        <w:t xml:space="preserve"> </w:t>
      </w:r>
      <w:proofErr w:type="spellStart"/>
      <w:r w:rsidRPr="006F5413">
        <w:t>Ladlad</w:t>
      </w:r>
      <w:proofErr w:type="spellEnd"/>
      <w:r w:rsidRPr="006F5413">
        <w:t xml:space="preserve"> is an LGBT organisation which “tolerate[d] immorality which offends religious beliefs”. </w:t>
      </w:r>
      <w:proofErr w:type="spellStart"/>
      <w:r w:rsidRPr="006F5413">
        <w:t>Ang</w:t>
      </w:r>
      <w:proofErr w:type="spellEnd"/>
      <w:r w:rsidRPr="006F5413">
        <w:t xml:space="preserve"> </w:t>
      </w:r>
      <w:proofErr w:type="spellStart"/>
      <w:r w:rsidRPr="006F5413">
        <w:t>Ladlad</w:t>
      </w:r>
      <w:proofErr w:type="spellEnd"/>
      <w:r w:rsidRPr="006F5413">
        <w:t xml:space="preserve"> petitioned the Supreme Court for certiorari review, which was granted. Later, the CHR intervened on behalf of </w:t>
      </w:r>
      <w:proofErr w:type="spellStart"/>
      <w:r w:rsidRPr="006F5413">
        <w:t>Ang</w:t>
      </w:r>
      <w:proofErr w:type="spellEnd"/>
      <w:r w:rsidRPr="006F5413">
        <w:t xml:space="preserve"> </w:t>
      </w:r>
      <w:proofErr w:type="spellStart"/>
      <w:r w:rsidRPr="006F5413">
        <w:t>Ladlad</w:t>
      </w:r>
      <w:proofErr w:type="spellEnd"/>
      <w:r w:rsidRPr="006F5413">
        <w:t xml:space="preserve"> in this case before the Supreme Court. Subsequently, The Supreme Court rejected all the reasons given by the Commission on Elections, and also rejected any public morals argument arguing that the Commission on Elections’ ruling violated the Philippine doctrine of freedom of expression. However, the High Court did not recognise the Yogyakarta Principles as a basis for its decision and the application of international human rights norms. </w:t>
      </w:r>
    </w:p>
    <w:p w14:paraId="72D60B18" w14:textId="77777777" w:rsidR="0075434A" w:rsidRPr="006F5413" w:rsidRDefault="0075434A" w:rsidP="006F5413">
      <w:r w:rsidRPr="006F5413">
        <w:t>CHR’s work with civil society organisations on a broad range of issues relevant to the LGBTI community included advocacy on the right to housing, especially on the issue of exclusion of LGBT headed households in the provision of socialized housing. In addition, engagements with the business community on business and human rights dimensions related to promoting and protecting diversity in the workplace were accentuated.</w:t>
      </w:r>
    </w:p>
    <w:p w14:paraId="187482F2" w14:textId="77777777" w:rsidR="0075434A" w:rsidRPr="006F5413" w:rsidRDefault="0075434A" w:rsidP="006F5413">
      <w:r w:rsidRPr="006F5413">
        <w:t>With these experiences, there is an increasing need to step up the discourse on SOGIESC, including the exploration of avenues to incorporate these rights in other areas of human rights advocacy such as business and human rights. Overall, such advocacy campaigns should be driven by the understanding that the future is always on the side of equality.</w:t>
      </w:r>
    </w:p>
    <w:p w14:paraId="48D02EB1" w14:textId="77777777" w:rsidR="0075434A" w:rsidRPr="006F5413" w:rsidRDefault="0075434A" w:rsidP="006F5413">
      <w:r w:rsidRPr="006F5413">
        <w:t xml:space="preserve">Sunil </w:t>
      </w:r>
      <w:proofErr w:type="spellStart"/>
      <w:r w:rsidRPr="006F5413">
        <w:t>Babu</w:t>
      </w:r>
      <w:proofErr w:type="spellEnd"/>
      <w:r w:rsidRPr="006F5413">
        <w:t xml:space="preserve"> Pant provided important insights into the cultural approach to understanding the significance of Yogyakarta Principles. To this effect, a key challenge still remains in many parts of the world in addressing acts of violation perpetrated by state agents which are often driven by a culture of impunity and expressed in the language of ‘devotee culture’. Very often, the lower level officers pass the responsibility to their seniors, stating that they were simply carrying out orders. </w:t>
      </w:r>
    </w:p>
    <w:p w14:paraId="759C1FA7" w14:textId="77777777" w:rsidR="0075434A" w:rsidRPr="006F5413" w:rsidRDefault="0075434A" w:rsidP="006F5413">
      <w:r w:rsidRPr="006F5413">
        <w:t xml:space="preserve">Sunil went on to identify three different kinds of resources that are required to promote the Yogyakarta Principles effectively – material, intellectual and emotional resources. While the material resources required for advocacy are essential to achieve long-term sustainable performance, more emphasis is needed to convert and translate the intellectual resources offered by the Yogyakarta Principles and the international human rights instruments into emotional resources that resonate with communities. Such emotional resources are essential in fostering kindness, empathy, gratitude, resilience and perseverance in the face of adversity and insurmountable challenges. We also need to combine the effect of material, intellectual and emotional resources to perform and carry out the campaigns over the long term. Such intellectual and emotional resources add value to the whole community and provide the energy to sustain the work of individuals on the ground. </w:t>
      </w:r>
    </w:p>
    <w:p w14:paraId="01774454" w14:textId="77777777" w:rsidR="0075434A" w:rsidRPr="006F5413" w:rsidRDefault="0075434A" w:rsidP="006F5413">
      <w:r w:rsidRPr="006F5413">
        <w:t xml:space="preserve">The importance of understanding how the world is shifting and the challenges in the Yogyakarta Principles itself was highlighted. With the increasing shifts in culture of tolerance in many parts of the world, there is an ever-urgent need to come up with a simplified and locally understandable language for the Yogyakarta Principles, so they can be effectively used on the ground. </w:t>
      </w:r>
    </w:p>
    <w:p w14:paraId="57850B54" w14:textId="77777777" w:rsidR="0075434A" w:rsidRPr="006F5413" w:rsidRDefault="0075434A" w:rsidP="006F5413">
      <w:r w:rsidRPr="006F5413">
        <w:t xml:space="preserve">Overall, one common sentiment expressed throughout the day highlighted that Principles have not been adequately disseminated. A number of speakers voiced, with a degree of disappointment, that only experts know the Principles; therefore, there is an urgent need for </w:t>
      </w:r>
      <w:r w:rsidRPr="006F5413">
        <w:lastRenderedPageBreak/>
        <w:t xml:space="preserve">the Principles to be made known to activists and people on the ground. Some expressed the view that the Principles are somewhat removed from the day to day reality of people working on the ground. Therefore, it was suggested that through increased dissemination, people on the ground must be empowered to pressure governments to change perceptions, policies and actions. </w:t>
      </w:r>
    </w:p>
    <w:p w14:paraId="261073EE" w14:textId="77777777" w:rsidR="0075434A" w:rsidRPr="006F5413" w:rsidRDefault="0075434A" w:rsidP="006F5413">
      <w:r w:rsidRPr="006F5413">
        <w:t xml:space="preserve">A number of speakers identified that progress has been made in many countries in the region, including legal, judicial and administrative developments. However, there was a resounding agreement that in the face of growing extremism, radicalisation and uncertainty, more work needs to be done to bring about positive attitudinal changes, as well as to break down barriers of negative stereotypes and prejudices. </w:t>
      </w:r>
    </w:p>
    <w:p w14:paraId="7F5631DD" w14:textId="72599E67" w:rsidR="0075434A" w:rsidRPr="006F5413" w:rsidRDefault="0075434A" w:rsidP="006F5413">
      <w:r w:rsidRPr="006F5413">
        <w:t>In relation to the discussion on the aspirational nature of the Principles, some participants expressed the view that the Principles are a statement of what international human rights law says at this point in time on LGBTI issues, firmly grounded on the principles of universality and non</w:t>
      </w:r>
      <w:r w:rsidR="00F7355D">
        <w:t>-</w:t>
      </w:r>
      <w:r w:rsidRPr="006F5413">
        <w:t>discrimination. To this effect, the Principles were more than a wish list and has the authority of international law. The living and evolving nature of the Principles and what it covers was also emphasised, especially in relation to people of diverse sexual orientations and gender identities.</w:t>
      </w:r>
    </w:p>
    <w:p w14:paraId="28C3E605" w14:textId="77777777" w:rsidR="0075434A" w:rsidRPr="006F5413" w:rsidRDefault="0075434A" w:rsidP="006F5413">
      <w:r w:rsidRPr="006F5413">
        <w:br w:type="page"/>
      </w:r>
    </w:p>
    <w:p w14:paraId="7E5C15AB" w14:textId="015F7D36" w:rsidR="0075434A" w:rsidRPr="00B068A2" w:rsidRDefault="0075434A" w:rsidP="00F7355D">
      <w:pPr>
        <w:pStyle w:val="Heading2"/>
        <w:ind w:left="0" w:firstLine="0"/>
      </w:pPr>
      <w:bookmarkStart w:id="54" w:name="_Toc489441316"/>
      <w:bookmarkStart w:id="55" w:name="_Toc491332768"/>
      <w:r w:rsidRPr="00B068A2">
        <w:lastRenderedPageBreak/>
        <w:t>Session 4: Challenges, barriers, limitations of the Yogyakarta Principles and how can it be strengthened for the future?</w:t>
      </w:r>
      <w:bookmarkEnd w:id="54"/>
      <w:bookmarkEnd w:id="55"/>
    </w:p>
    <w:p w14:paraId="62ED9919" w14:textId="312CE227" w:rsidR="00F7355D" w:rsidRPr="002F5624" w:rsidRDefault="00F7355D" w:rsidP="00F7355D">
      <w:pPr>
        <w:pStyle w:val="TextBoxFirstLine"/>
        <w:rPr>
          <w:sz w:val="20"/>
          <w:szCs w:val="20"/>
        </w:rPr>
      </w:pPr>
      <w:r w:rsidRPr="002F5624">
        <w:rPr>
          <w:b/>
          <w:sz w:val="20"/>
          <w:szCs w:val="20"/>
        </w:rPr>
        <w:t>Keynote speaker</w:t>
      </w:r>
      <w:r w:rsidRPr="002F5624">
        <w:rPr>
          <w:b/>
          <w:sz w:val="20"/>
          <w:szCs w:val="20"/>
        </w:rPr>
        <w:br/>
      </w:r>
      <w:r w:rsidRPr="002F5624">
        <w:rPr>
          <w:sz w:val="20"/>
          <w:szCs w:val="20"/>
        </w:rPr>
        <w:t>Honourable Michael Kirby AC CMG, International Jurist, Educator and former Judge of High Court of Australia</w:t>
      </w:r>
    </w:p>
    <w:p w14:paraId="26F159C9" w14:textId="22837480" w:rsidR="00F7355D" w:rsidRPr="002F5624" w:rsidRDefault="00F7355D" w:rsidP="00F7355D">
      <w:pPr>
        <w:spacing w:after="120"/>
        <w:rPr>
          <w:sz w:val="20"/>
          <w:szCs w:val="20"/>
        </w:rPr>
      </w:pPr>
      <w:r w:rsidRPr="002F5624">
        <w:rPr>
          <w:b/>
          <w:sz w:val="20"/>
          <w:szCs w:val="20"/>
        </w:rPr>
        <w:t>Panel members</w:t>
      </w:r>
      <w:r w:rsidRPr="002F5624">
        <w:rPr>
          <w:b/>
          <w:sz w:val="20"/>
          <w:szCs w:val="20"/>
        </w:rPr>
        <w:br/>
      </w:r>
      <w:r w:rsidRPr="002F5624">
        <w:rPr>
          <w:sz w:val="20"/>
          <w:szCs w:val="20"/>
        </w:rPr>
        <w:t xml:space="preserve">Jean Chong, Programme Field Coordinator, Outright Action International </w:t>
      </w:r>
    </w:p>
    <w:p w14:paraId="140E3A61" w14:textId="77777777" w:rsidR="00F7355D" w:rsidRPr="002F5624" w:rsidRDefault="00F7355D" w:rsidP="00F7355D">
      <w:pPr>
        <w:spacing w:before="120" w:after="120"/>
        <w:rPr>
          <w:sz w:val="20"/>
          <w:szCs w:val="20"/>
        </w:rPr>
      </w:pPr>
      <w:proofErr w:type="spellStart"/>
      <w:r w:rsidRPr="002F5624">
        <w:rPr>
          <w:sz w:val="20"/>
          <w:szCs w:val="20"/>
        </w:rPr>
        <w:t>Vaialia</w:t>
      </w:r>
      <w:proofErr w:type="spellEnd"/>
      <w:r w:rsidRPr="002F5624">
        <w:rPr>
          <w:sz w:val="20"/>
          <w:szCs w:val="20"/>
        </w:rPr>
        <w:t xml:space="preserve"> </w:t>
      </w:r>
      <w:proofErr w:type="spellStart"/>
      <w:r w:rsidRPr="002F5624">
        <w:rPr>
          <w:sz w:val="20"/>
          <w:szCs w:val="20"/>
        </w:rPr>
        <w:t>Iosua</w:t>
      </w:r>
      <w:proofErr w:type="spellEnd"/>
      <w:r w:rsidRPr="002F5624">
        <w:rPr>
          <w:sz w:val="20"/>
          <w:szCs w:val="20"/>
        </w:rPr>
        <w:t xml:space="preserve">, Co-Founder/Former Vice President, Samoa </w:t>
      </w:r>
      <w:proofErr w:type="spellStart"/>
      <w:r w:rsidRPr="002F5624">
        <w:rPr>
          <w:sz w:val="20"/>
          <w:szCs w:val="20"/>
        </w:rPr>
        <w:t>Fa’afafine</w:t>
      </w:r>
      <w:proofErr w:type="spellEnd"/>
      <w:r w:rsidRPr="002F5624">
        <w:rPr>
          <w:sz w:val="20"/>
          <w:szCs w:val="20"/>
        </w:rPr>
        <w:t xml:space="preserve"> Association Inc. </w:t>
      </w:r>
    </w:p>
    <w:p w14:paraId="00E26439" w14:textId="77777777" w:rsidR="00F7355D" w:rsidRPr="002F5624" w:rsidRDefault="00F7355D" w:rsidP="00F7355D">
      <w:pPr>
        <w:spacing w:before="120"/>
        <w:rPr>
          <w:sz w:val="20"/>
          <w:szCs w:val="20"/>
        </w:rPr>
      </w:pPr>
      <w:r w:rsidRPr="002F5624">
        <w:rPr>
          <w:sz w:val="20"/>
          <w:szCs w:val="20"/>
        </w:rPr>
        <w:t xml:space="preserve">Mauro Cabral </w:t>
      </w:r>
      <w:proofErr w:type="spellStart"/>
      <w:r w:rsidRPr="002F5624">
        <w:rPr>
          <w:sz w:val="20"/>
          <w:szCs w:val="20"/>
        </w:rPr>
        <w:t>Grinspan</w:t>
      </w:r>
      <w:proofErr w:type="spellEnd"/>
      <w:r w:rsidRPr="002F5624">
        <w:rPr>
          <w:sz w:val="20"/>
          <w:szCs w:val="20"/>
        </w:rPr>
        <w:t>, Executive Director, Global Action for Trans* Equality</w:t>
      </w:r>
    </w:p>
    <w:p w14:paraId="082B8F0A" w14:textId="0A21C21E" w:rsidR="00F7355D" w:rsidRPr="002F5624" w:rsidRDefault="00F7355D" w:rsidP="00F7355D">
      <w:pPr>
        <w:pStyle w:val="TextBoxLastLine"/>
        <w:rPr>
          <w:sz w:val="20"/>
          <w:szCs w:val="20"/>
        </w:rPr>
      </w:pPr>
      <w:r w:rsidRPr="002F5624">
        <w:rPr>
          <w:b/>
          <w:sz w:val="20"/>
          <w:szCs w:val="20"/>
        </w:rPr>
        <w:t>Moderator</w:t>
      </w:r>
      <w:r w:rsidRPr="002F5624">
        <w:rPr>
          <w:b/>
          <w:sz w:val="20"/>
          <w:szCs w:val="20"/>
        </w:rPr>
        <w:br/>
      </w:r>
      <w:r w:rsidRPr="002F5624">
        <w:rPr>
          <w:sz w:val="20"/>
          <w:szCs w:val="20"/>
        </w:rPr>
        <w:t>Edmund Settle, Policy Advisor, UNDP Bangkok Regional Hub</w:t>
      </w:r>
    </w:p>
    <w:p w14:paraId="3E6A60DD" w14:textId="77777777" w:rsidR="0075434A" w:rsidRPr="006F5413" w:rsidRDefault="0075434A" w:rsidP="00F7355D">
      <w:pPr>
        <w:pStyle w:val="Normalspacebefore"/>
      </w:pPr>
      <w:r w:rsidRPr="006F5413">
        <w:t xml:space="preserve">This session was designed to stimulate ideas and discussions about where the opportunities lie for strengthening and supplementing the Yogyakarta Principles. Using the example of the Royal Barge procession of the Thai King, Justice Michael Kirby argued that although going down and facing setbacks is painful, they are often necessary for movement and must be taken as an opportunity to gather momentum. To this effect, the many challenges and defeats in the cause of LGBTI rights in many parts of the world since the adoption of the Yogyakarta Principles should not be reason for reducing down our efforts to achieve equal recognition. He also emphasised that gay people are everywhere from the most ordinary jobs to the most prestigious jobs in many parts of the world, including Australia. </w:t>
      </w:r>
    </w:p>
    <w:p w14:paraId="1212E384" w14:textId="77777777" w:rsidR="0075434A" w:rsidRPr="006F5413" w:rsidRDefault="0075434A" w:rsidP="006F5413">
      <w:r w:rsidRPr="006F5413">
        <w:t xml:space="preserve">The innumerable sacrifices made by LGBTI advocates and people who stand up for the cause of human rights need to be reflected upon. Many individuals have been tortured and murdered in recent years for their work to achieve a more equitable and equal society. Such violence and intolerance are often rooted in unscientific views of human nature, which fails to recognise the diversity of natural ways to express one’s sexual orientation and gender identity. We must all recognise that violence and discrimination are not acceptable against anyone under any circumstance. </w:t>
      </w:r>
    </w:p>
    <w:p w14:paraId="79AF01A3" w14:textId="77777777" w:rsidR="0075434A" w:rsidRPr="006F5413" w:rsidRDefault="0075434A" w:rsidP="006F5413">
      <w:r w:rsidRPr="006F5413">
        <w:t xml:space="preserve">There are continuing challenges in legal reform in many parts of the world, including the colonial legacy in Commonwealth countries of criminalisation under Section 377. Unfortunately, even today, 42 out of 54 former British colonies have this section in their penal codes and criminalise same sex relations. </w:t>
      </w:r>
    </w:p>
    <w:p w14:paraId="49DEBD61" w14:textId="77777777" w:rsidR="0075434A" w:rsidRPr="006F5413" w:rsidRDefault="0075434A" w:rsidP="006F5413">
      <w:r w:rsidRPr="006F5413">
        <w:t>The level of opposition to establishing the new mandate of the Independent Expert on SOGI was strong, with 78 countries in the 3rd Committee voting against the establishment of the mandate. Similar results were also observed when the issue went to the 5th Committee.</w:t>
      </w:r>
    </w:p>
    <w:p w14:paraId="01141320" w14:textId="3F5A4A39" w:rsidR="0075434A" w:rsidRPr="006F5413" w:rsidRDefault="0075434A" w:rsidP="006F5413">
      <w:r w:rsidRPr="006F5413">
        <w:t>Although the Yogyakarta Principles are only repeating the language of the Universal Declaration of Human Rights (UNHR) in an LGBTI context, there is still resistance to accept these Principles in that context. Therefore, we need to address issues of stigma and prioritise actions which can be derived from the Principles, always keeping in mind that the fundamental basis of all human rights is love.</w:t>
      </w:r>
      <w:r w:rsidR="00F3764F">
        <w:t xml:space="preserve"> </w:t>
      </w:r>
    </w:p>
    <w:p w14:paraId="7A2E60C7" w14:textId="39C9CB9A" w:rsidR="0075434A" w:rsidRPr="006F5413" w:rsidRDefault="0075434A" w:rsidP="006F5413">
      <w:r w:rsidRPr="006F5413">
        <w:t xml:space="preserve">Drawing attention to the soft law nature of the Principles, Jean Chong provided a brief description of recent LGBTI related court cases and good practice in disseminating the Principles. For example, an Indonesian CSO translated the Principles in a comic book format, which provided a very effective way to reach out to a larger audience. In order to push for the promotion of the Principles to a wider audience, simplifying the concepts and </w:t>
      </w:r>
      <w:r w:rsidRPr="006F5413">
        <w:lastRenderedPageBreak/>
        <w:t>improving access to the practical application of these principles on the ground were identified as essential steps.</w:t>
      </w:r>
      <w:r w:rsidR="00F3764F">
        <w:t xml:space="preserve"> </w:t>
      </w:r>
    </w:p>
    <w:p w14:paraId="6043AE4C" w14:textId="77777777" w:rsidR="0075434A" w:rsidRPr="006F5413" w:rsidRDefault="0075434A" w:rsidP="006F5413">
      <w:proofErr w:type="spellStart"/>
      <w:r w:rsidRPr="006F5413">
        <w:t>Vaialia</w:t>
      </w:r>
      <w:proofErr w:type="spellEnd"/>
      <w:r w:rsidRPr="006F5413">
        <w:t xml:space="preserve"> </w:t>
      </w:r>
      <w:proofErr w:type="spellStart"/>
      <w:r w:rsidRPr="006F5413">
        <w:t>Iosua</w:t>
      </w:r>
      <w:proofErr w:type="spellEnd"/>
      <w:r w:rsidRPr="006F5413">
        <w:t xml:space="preserve"> espoused that Principle 19 of the Yogyakarta Principles forms an important point of contact for the work of many advocates. The Principle states:</w:t>
      </w:r>
    </w:p>
    <w:p w14:paraId="1F8296AB" w14:textId="77777777" w:rsidR="0075434A" w:rsidRPr="00B068A2" w:rsidRDefault="0075434A" w:rsidP="002F5624">
      <w:pPr>
        <w:pStyle w:val="Quote"/>
      </w:pPr>
      <w:r w:rsidRPr="00B068A2">
        <w:t>Everyone has the right to freedom of opinion and expression, regardless of sexual orientation or gender identity. This includes the expression of identity or personhood through speech, deportment, dress, bodily characteristics, choice of name, or any other means, as well as the freedom to seek, receive and impart information and ideas of all kinds, including with regard to human rights, sexual orientation and gender identity, through any medium and regardless of frontiers.</w:t>
      </w:r>
      <w:r w:rsidRPr="002F5624">
        <w:rPr>
          <w:rStyle w:val="FootnoteReference"/>
          <w:i w:val="0"/>
        </w:rPr>
        <w:footnoteReference w:id="9"/>
      </w:r>
    </w:p>
    <w:p w14:paraId="6FDAD7AA" w14:textId="77777777" w:rsidR="0075434A" w:rsidRPr="006F5413" w:rsidRDefault="0075434A" w:rsidP="006F5413">
      <w:r w:rsidRPr="006F5413">
        <w:t xml:space="preserve">Learning from the jurisprudential development of the Principles in the past, there is a need to focus on areas that would have the best impact on the quality of life of individuals and communities. </w:t>
      </w:r>
    </w:p>
    <w:p w14:paraId="399081C7" w14:textId="77777777" w:rsidR="0075434A" w:rsidRPr="006F5413" w:rsidRDefault="0075434A" w:rsidP="006F5413">
      <w:r w:rsidRPr="006F5413">
        <w:t xml:space="preserve">The Principles would likely produce a better result if they themselves were binding even though they articulate already existing principles of binding international law. The current language of the Principles may also be one of the reasons for lower level of compliance by States; therefore, there is a need to create better interpretations and supplementary explanations. </w:t>
      </w:r>
    </w:p>
    <w:p w14:paraId="77CF9438" w14:textId="77777777" w:rsidR="0075434A" w:rsidRPr="006F5413" w:rsidRDefault="0075434A" w:rsidP="006F5413">
      <w:r w:rsidRPr="006F5413">
        <w:t xml:space="preserve">How we translate the document into practice is what is important when it comes to results. Therefore, embracing the lived experiences of the people and creating a stronger sense of ownership through meaningful engagement with stakeholders is essential. </w:t>
      </w:r>
    </w:p>
    <w:p w14:paraId="71761BE1" w14:textId="77777777" w:rsidR="0075434A" w:rsidRPr="006F5413" w:rsidRDefault="0075434A" w:rsidP="006F5413">
      <w:r w:rsidRPr="006F5413">
        <w:t xml:space="preserve">There is also the need to do more research that benefits the LGBTI community and fill the knowledge gaps we currently have, not only in understanding the principles, but also in their full application and impact. This may even involve the initiation of the process of coming up with a new set of principles. </w:t>
      </w:r>
    </w:p>
    <w:p w14:paraId="5B188A89" w14:textId="77777777" w:rsidR="0075434A" w:rsidRPr="006F5413" w:rsidRDefault="0075434A" w:rsidP="006F5413">
      <w:r w:rsidRPr="006F5413">
        <w:t xml:space="preserve">By discussing the struggles and collective understandings of challenges in realizing the aspirations of the Yogyakarta Principles, Mauro Cabral </w:t>
      </w:r>
      <w:proofErr w:type="spellStart"/>
      <w:r w:rsidRPr="006F5413">
        <w:t>Grinspan</w:t>
      </w:r>
      <w:proofErr w:type="spellEnd"/>
      <w:r w:rsidRPr="006F5413">
        <w:t xml:space="preserve"> emphasized the need to bring in more clarity and new terminology to better understand the nuances of lived experiences. To this effect, the issue of non-recognition of intersex, even in some countries that are seen as liberal and accommodating, was underscored. Appreciating that intersex traits encompass a wide spectrum of physical sex characteristics, intersex recognition and effective protection of human rights of intersex people, particularly in relation to human rights violations they face, was emphasized. Mauro further underscored that in Argentina, despite the liberal and progressive stance on LGBTI rights in general, the government has been ineffective in taking appropriate legislative, administrative and other measures to protect the rights of intersex people and to provide survivors the often-needed access to justice, redress and compensation.</w:t>
      </w:r>
    </w:p>
    <w:p w14:paraId="57879717" w14:textId="77777777" w:rsidR="0075434A" w:rsidRPr="006F5413" w:rsidRDefault="0075434A" w:rsidP="006F5413">
      <w:r w:rsidRPr="006F5413">
        <w:t xml:space="preserve">Realising the provisions of Principle 17 (the right to the highest attainable standard of health) may be seen as just around the corner, but to go around the corner may be challenging. There is also the need to further heighten the efforts to strengthen the realisation of the right to effective remedies (Principle 28). There is a need to move collective advocacy and efforts from stopping human rights violations to ensuring everyone has access to human rights, and remedies, and reparation. Moreover, the perpetrators and potential perpetrators must have </w:t>
      </w:r>
      <w:r w:rsidRPr="006F5413">
        <w:lastRenderedPageBreak/>
        <w:t xml:space="preserve">access to awareness opportunities to unlearn their behaviors and develop a sense of respect for the equal dignity of everyone. </w:t>
      </w:r>
    </w:p>
    <w:p w14:paraId="07BC27B9" w14:textId="77777777" w:rsidR="0075434A" w:rsidRPr="00FB54B4" w:rsidRDefault="0075434A" w:rsidP="00FB54B4">
      <w:r w:rsidRPr="00FB54B4">
        <w:t xml:space="preserve">Exploring the changing landscape of human rights movements across the world, </w:t>
      </w:r>
      <w:proofErr w:type="spellStart"/>
      <w:r w:rsidRPr="00FB54B4">
        <w:t>Edmud</w:t>
      </w:r>
      <w:proofErr w:type="spellEnd"/>
      <w:r w:rsidRPr="00FB54B4">
        <w:t xml:space="preserve"> Settle emphasised that more openness is needed from the global north to learn from the experience and success stories from the south. There is also the need to re-emphasise the language of the Yogyakarta Principles in international cooperation activities. International organisations must also realise that progress with one group may mean negative results for other groups, therefore need to deepen their engagement with multiple actors. </w:t>
      </w:r>
    </w:p>
    <w:p w14:paraId="584C99EE" w14:textId="77777777" w:rsidR="0075434A" w:rsidRPr="00FB54B4" w:rsidRDefault="0075434A" w:rsidP="00FB54B4">
      <w:r w:rsidRPr="00FB54B4">
        <w:t xml:space="preserve">In order to better localise the language of the Yogyakarta Principles, </w:t>
      </w:r>
      <w:proofErr w:type="spellStart"/>
      <w:r w:rsidRPr="00FB54B4">
        <w:t>panelists</w:t>
      </w:r>
      <w:proofErr w:type="spellEnd"/>
      <w:r w:rsidRPr="00FB54B4">
        <w:t xml:space="preserve"> agreed that the principles need to be translated into the local context – using the words people use. Such an approach will also be helpful in bringing out realistic changes in the community understanding and acceptance of the Principles. Using socially acceptable language will be helpful as an entry points to the social discourse, which can then be moved on to more difficult and contentious topics. Developing local interpretations of the Principles and moving them towards a fit with the Yogyakarta Principles, rather than working from the Principles to the local context, would be more effective. </w:t>
      </w:r>
    </w:p>
    <w:p w14:paraId="0DBA225F" w14:textId="1CACA192" w:rsidR="0075434A" w:rsidRPr="00FB54B4" w:rsidRDefault="0075434A" w:rsidP="00FB54B4">
      <w:r w:rsidRPr="00FB54B4">
        <w:t>The increasing efforts of the international community and UN agencies to highlight the human rights and development concerns of LGBTI people was applauded. It was also noted that the UN now has designed a staff inclusion training course entitled ‘UN for All’ for all staff – which includes a module on LGBTI issues and inclusion.</w:t>
      </w:r>
      <w:r w:rsidR="00F3764F">
        <w:t xml:space="preserve"> </w:t>
      </w:r>
    </w:p>
    <w:p w14:paraId="025B501B" w14:textId="77777777" w:rsidR="0075434A" w:rsidRPr="00FB54B4" w:rsidRDefault="0075434A" w:rsidP="00FB54B4">
      <w:r w:rsidRPr="00FB54B4">
        <w:br w:type="page"/>
      </w:r>
    </w:p>
    <w:p w14:paraId="041CCAA5" w14:textId="141C0C1F" w:rsidR="0075434A" w:rsidRPr="00B068A2" w:rsidRDefault="002F5624" w:rsidP="002F5624">
      <w:pPr>
        <w:pStyle w:val="Heading2"/>
        <w:ind w:left="0" w:firstLine="0"/>
      </w:pPr>
      <w:bookmarkStart w:id="56" w:name="_Toc489441317"/>
      <w:bookmarkStart w:id="57" w:name="_Toc491332769"/>
      <w:r>
        <w:lastRenderedPageBreak/>
        <w:t>Session 5: Group discussions – H</w:t>
      </w:r>
      <w:r w:rsidR="0075434A" w:rsidRPr="00B068A2">
        <w:t xml:space="preserve">ow </w:t>
      </w:r>
      <w:r w:rsidR="00DC742C">
        <w:t xml:space="preserve">can </w:t>
      </w:r>
      <w:r w:rsidR="0075434A" w:rsidRPr="00B068A2">
        <w:t>the Yogyakarta Principles be strengthened and supplemented for the future?</w:t>
      </w:r>
      <w:bookmarkEnd w:id="56"/>
      <w:bookmarkEnd w:id="57"/>
    </w:p>
    <w:p w14:paraId="5F96BD36" w14:textId="77777777" w:rsidR="0075434A" w:rsidRPr="00B068A2" w:rsidRDefault="0075434A" w:rsidP="00FB54B4">
      <w:r w:rsidRPr="00B068A2">
        <w:t>After a day of intense discussion on the historical background and the experiences of</w:t>
      </w:r>
      <w:r>
        <w:t xml:space="preserve"> the</w:t>
      </w:r>
      <w:r w:rsidRPr="00B068A2">
        <w:t xml:space="preserve"> past 10 years of the Yogyakarta Principles, the last session for the day was designed to consider how each sector can contribute to strengthening and supplementing the Yogyakarta Principles, including through building partnerships with the State, NHRIs, CSOs and the UN System. All participants of the conference engaged in one of the four groups:</w:t>
      </w:r>
    </w:p>
    <w:p w14:paraId="34E5A3F7" w14:textId="0D5A1348" w:rsidR="0075434A" w:rsidRPr="00B068A2" w:rsidRDefault="00291770" w:rsidP="002F5624">
      <w:pPr>
        <w:pStyle w:val="ListBulletLessSpace"/>
      </w:pPr>
      <w:r>
        <w:t>Group 1: Engaging the State (g</w:t>
      </w:r>
      <w:r w:rsidR="0075434A" w:rsidRPr="00B068A2">
        <w:t>overn</w:t>
      </w:r>
      <w:r>
        <w:t>ment, parliament and j</w:t>
      </w:r>
      <w:r w:rsidR="002F5624">
        <w:t>udiciary)</w:t>
      </w:r>
    </w:p>
    <w:p w14:paraId="68CFFFBD" w14:textId="7F67AABA" w:rsidR="0075434A" w:rsidRPr="00B068A2" w:rsidRDefault="002F5624" w:rsidP="002F5624">
      <w:pPr>
        <w:pStyle w:val="ListBulletLessSpace"/>
      </w:pPr>
      <w:r>
        <w:t>Group 2: Engaging NHRIs</w:t>
      </w:r>
    </w:p>
    <w:p w14:paraId="0E92DAAB" w14:textId="470D95B6" w:rsidR="0075434A" w:rsidRPr="00B068A2" w:rsidRDefault="0075434A" w:rsidP="002F5624">
      <w:pPr>
        <w:pStyle w:val="ListBulletLessSpace"/>
      </w:pPr>
      <w:r w:rsidRPr="00B068A2">
        <w:t xml:space="preserve">Group 3: </w:t>
      </w:r>
      <w:r w:rsidR="002F5624">
        <w:t xml:space="preserve">Engaging </w:t>
      </w:r>
      <w:r w:rsidRPr="00B068A2">
        <w:t>CSOs</w:t>
      </w:r>
    </w:p>
    <w:p w14:paraId="32DB7FE7" w14:textId="32CF01EF" w:rsidR="0075434A" w:rsidRPr="00B068A2" w:rsidRDefault="0075434A" w:rsidP="002F5624">
      <w:pPr>
        <w:pStyle w:val="ListBulletLessSpace"/>
      </w:pPr>
      <w:r w:rsidRPr="00B068A2">
        <w:t xml:space="preserve">Group 4: </w:t>
      </w:r>
      <w:r w:rsidR="002F5624">
        <w:t>Engaging UN agencies</w:t>
      </w:r>
    </w:p>
    <w:p w14:paraId="29C69A16" w14:textId="1C5EB94E" w:rsidR="0075434A" w:rsidRPr="00FB54B4" w:rsidRDefault="0075434A" w:rsidP="00FB54B4">
      <w:r w:rsidRPr="00FB54B4">
        <w:t xml:space="preserve">Moderated by Nicholas Booth, Human Rights Advisor, UNDP Bangkok Regional Hub, the key discussion points from all four groups which were reported back to the </w:t>
      </w:r>
      <w:r w:rsidR="002F5624">
        <w:t>conference are presented below.</w:t>
      </w:r>
    </w:p>
    <w:p w14:paraId="4311F750" w14:textId="28E09D28" w:rsidR="0075434A" w:rsidRDefault="00291770" w:rsidP="00FB54B4">
      <w:pPr>
        <w:pStyle w:val="Heading4"/>
      </w:pPr>
      <w:r>
        <w:t>Group 1: Engaging the State (government, parliament and j</w:t>
      </w:r>
      <w:r w:rsidR="002F5624">
        <w:t>udiciary)</w:t>
      </w:r>
    </w:p>
    <w:p w14:paraId="2349902E" w14:textId="6F7D95B7" w:rsidR="0075434A" w:rsidRPr="002F5624" w:rsidRDefault="0075434A" w:rsidP="002F5624">
      <w:pPr>
        <w:pStyle w:val="NormalTextBox"/>
        <w:rPr>
          <w:sz w:val="20"/>
          <w:szCs w:val="20"/>
        </w:rPr>
      </w:pPr>
      <w:r w:rsidRPr="002F5624">
        <w:rPr>
          <w:b/>
          <w:sz w:val="20"/>
          <w:szCs w:val="20"/>
        </w:rPr>
        <w:t>Rapporteur</w:t>
      </w:r>
      <w:r w:rsidR="002F5624" w:rsidRPr="002F5624">
        <w:rPr>
          <w:b/>
          <w:sz w:val="20"/>
          <w:szCs w:val="20"/>
        </w:rPr>
        <w:br/>
      </w:r>
      <w:r w:rsidRPr="002F5624">
        <w:rPr>
          <w:sz w:val="20"/>
          <w:szCs w:val="20"/>
        </w:rPr>
        <w:t>Anna Brown, Human Rights Law Centre</w:t>
      </w:r>
    </w:p>
    <w:p w14:paraId="582CFF90" w14:textId="77777777" w:rsidR="0075434A" w:rsidRPr="00B068A2" w:rsidRDefault="0075434A" w:rsidP="002F5624">
      <w:pPr>
        <w:pStyle w:val="ListBulletLessSpace"/>
      </w:pPr>
      <w:r w:rsidRPr="00B068A2">
        <w:t xml:space="preserve">It is important for LGBTI advocates to know the </w:t>
      </w:r>
      <w:r>
        <w:t>S</w:t>
      </w:r>
      <w:r w:rsidRPr="00B068A2">
        <w:t xml:space="preserve">tate’s response to international human rights framework in general and to </w:t>
      </w:r>
      <w:r>
        <w:t>SOGIESC</w:t>
      </w:r>
      <w:r w:rsidRPr="00B068A2">
        <w:t xml:space="preserve"> issues in specific</w:t>
      </w:r>
    </w:p>
    <w:p w14:paraId="515522C2" w14:textId="77777777" w:rsidR="0075434A" w:rsidRPr="00B068A2" w:rsidRDefault="0075434A" w:rsidP="002F5624">
      <w:pPr>
        <w:pStyle w:val="ListBulletLessSpace"/>
      </w:pPr>
      <w:r w:rsidRPr="00B068A2">
        <w:t xml:space="preserve">In order to achieve superior results through engagement with the </w:t>
      </w:r>
      <w:r>
        <w:t>S</w:t>
      </w:r>
      <w:r w:rsidRPr="00B068A2">
        <w:t xml:space="preserve">tate, it is better to form alliances with and target the foreign affairs ministry – because out of all government agencies, they are more likely to care about the international obligations of the state </w:t>
      </w:r>
    </w:p>
    <w:p w14:paraId="4A235873" w14:textId="77777777" w:rsidR="0075434A" w:rsidRPr="00B068A2" w:rsidRDefault="0075434A" w:rsidP="002F5624">
      <w:pPr>
        <w:pStyle w:val="ListBulletLessSpace"/>
      </w:pPr>
      <w:r>
        <w:t>SOGIESC</w:t>
      </w:r>
      <w:r w:rsidRPr="00B068A2">
        <w:t xml:space="preserve"> advocates need to know the</w:t>
      </w:r>
      <w:r>
        <w:t>ir</w:t>
      </w:r>
      <w:r w:rsidRPr="00B068A2">
        <w:t xml:space="preserve"> audience</w:t>
      </w:r>
      <w:r>
        <w:t>s</w:t>
      </w:r>
      <w:r w:rsidRPr="00B068A2">
        <w:t xml:space="preserve"> very well and </w:t>
      </w:r>
      <w:proofErr w:type="spellStart"/>
      <w:r w:rsidRPr="00B068A2">
        <w:t>strateg</w:t>
      </w:r>
      <w:r>
        <w:t>is</w:t>
      </w:r>
      <w:r w:rsidRPr="00B068A2">
        <w:t>e</w:t>
      </w:r>
      <w:proofErr w:type="spellEnd"/>
      <w:r w:rsidRPr="00B068A2">
        <w:t xml:space="preserve"> the engagement according to their characteristics and needs </w:t>
      </w:r>
    </w:p>
    <w:p w14:paraId="490503CD" w14:textId="77777777" w:rsidR="0075434A" w:rsidRPr="00B068A2" w:rsidRDefault="0075434A" w:rsidP="002F5624">
      <w:pPr>
        <w:pStyle w:val="ListBulletLessSpace"/>
      </w:pPr>
      <w:r>
        <w:t xml:space="preserve">The </w:t>
      </w:r>
      <w:r w:rsidRPr="00B068A2">
        <w:t xml:space="preserve">Yogyakarta Principles need to be translated to the local language and used as an effective tool of advocacy with all state agencies </w:t>
      </w:r>
    </w:p>
    <w:p w14:paraId="606FA903" w14:textId="77777777" w:rsidR="0075434A" w:rsidRPr="00B068A2" w:rsidRDefault="0075434A" w:rsidP="002F5624">
      <w:pPr>
        <w:pStyle w:val="ListBulletLessSpace"/>
      </w:pPr>
      <w:r w:rsidRPr="00B068A2">
        <w:t xml:space="preserve">Involve the private sector in negotiation with the state, and use their leverage to convince the government agencies </w:t>
      </w:r>
    </w:p>
    <w:p w14:paraId="36B3B441" w14:textId="77777777" w:rsidR="0075434A" w:rsidRPr="00B068A2" w:rsidRDefault="0075434A" w:rsidP="002F5624">
      <w:pPr>
        <w:pStyle w:val="ListBulletLessSpace"/>
      </w:pPr>
      <w:r w:rsidRPr="00B068A2">
        <w:t xml:space="preserve">Build political capital around LGBT issues and use it effectively </w:t>
      </w:r>
    </w:p>
    <w:p w14:paraId="2716E520" w14:textId="77777777" w:rsidR="0075434A" w:rsidRPr="00B068A2" w:rsidRDefault="0075434A" w:rsidP="002F5624">
      <w:pPr>
        <w:pStyle w:val="ListBulletLessSpace"/>
      </w:pPr>
      <w:r w:rsidRPr="00B068A2">
        <w:t>Form</w:t>
      </w:r>
      <w:r>
        <w:t>ing</w:t>
      </w:r>
      <w:r w:rsidRPr="00B068A2">
        <w:t xml:space="preserve"> unlikely alliances with other interest groups could also be effective </w:t>
      </w:r>
    </w:p>
    <w:p w14:paraId="3460C95A" w14:textId="77777777" w:rsidR="0075434A" w:rsidRPr="00B068A2" w:rsidRDefault="0075434A" w:rsidP="002F5624">
      <w:pPr>
        <w:pStyle w:val="ListBulletLessSpace"/>
      </w:pPr>
      <w:r w:rsidRPr="00B068A2">
        <w:t xml:space="preserve">The idea of injecting some competitiveness among </w:t>
      </w:r>
      <w:r>
        <w:t>S</w:t>
      </w:r>
      <w:r w:rsidRPr="00B068A2">
        <w:t>tates in achieving the objectives of Yogyakarta Principles and the international human rights norms – for example the idea of introducing a Y</w:t>
      </w:r>
      <w:r>
        <w:t xml:space="preserve">ogyakarta </w:t>
      </w:r>
      <w:r w:rsidRPr="00B068A2">
        <w:t>P</w:t>
      </w:r>
      <w:r>
        <w:t>rinciples</w:t>
      </w:r>
      <w:r w:rsidRPr="00B068A2">
        <w:t xml:space="preserve"> compliance index</w:t>
      </w:r>
    </w:p>
    <w:p w14:paraId="00195B8A" w14:textId="77777777" w:rsidR="0075434A" w:rsidRPr="00B068A2" w:rsidRDefault="0075434A" w:rsidP="002F5624">
      <w:pPr>
        <w:pStyle w:val="ListBulletLessSpace"/>
      </w:pPr>
      <w:r w:rsidRPr="00B068A2">
        <w:t>Creating potential levers through</w:t>
      </w:r>
      <w:r>
        <w:t xml:space="preserve"> the</w:t>
      </w:r>
      <w:r w:rsidRPr="00B068A2">
        <w:t xml:space="preserve"> World Bank and other agencies to convince the government of the economic and social benefits of compliance </w:t>
      </w:r>
    </w:p>
    <w:p w14:paraId="67D96870" w14:textId="77777777" w:rsidR="0075434A" w:rsidRPr="00B068A2" w:rsidRDefault="0075434A" w:rsidP="002F5624">
      <w:pPr>
        <w:pStyle w:val="ListBulletLessSpace"/>
      </w:pPr>
      <w:r w:rsidRPr="00B068A2">
        <w:t xml:space="preserve">Linking the SDGs and LGBTI </w:t>
      </w:r>
      <w:r>
        <w:t>inclusion</w:t>
      </w:r>
    </w:p>
    <w:p w14:paraId="1A889072" w14:textId="77777777" w:rsidR="0075434A" w:rsidRPr="00B068A2" w:rsidRDefault="0075434A" w:rsidP="002F5624">
      <w:pPr>
        <w:pStyle w:val="ListBulletLessSpace"/>
      </w:pPr>
      <w:r w:rsidRPr="00B068A2">
        <w:t>Drawing on our common humanity and convincing the governments that it is essential to recogn</w:t>
      </w:r>
      <w:r>
        <w:t>is</w:t>
      </w:r>
      <w:r w:rsidRPr="00B068A2">
        <w:t>e equal dignity and rights for everyone regardless of their sexual orientation and gender identity</w:t>
      </w:r>
    </w:p>
    <w:p w14:paraId="041A1AEB" w14:textId="77777777" w:rsidR="0075434A" w:rsidRPr="00B068A2" w:rsidRDefault="0075434A" w:rsidP="002F5624">
      <w:pPr>
        <w:pStyle w:val="ListBulletLessSpace"/>
      </w:pPr>
      <w:r w:rsidRPr="00B068A2">
        <w:lastRenderedPageBreak/>
        <w:t>Convene a litigators</w:t>
      </w:r>
      <w:r>
        <w:t>’</w:t>
      </w:r>
      <w:r w:rsidRPr="00B068A2">
        <w:t xml:space="preserve"> meeting – identify litigation strategies and build cases around LGBTI rights </w:t>
      </w:r>
    </w:p>
    <w:p w14:paraId="78875101" w14:textId="77777777" w:rsidR="0075434A" w:rsidRPr="00B068A2" w:rsidRDefault="0075434A" w:rsidP="002F5624">
      <w:pPr>
        <w:pStyle w:val="ListBulletLessSpace"/>
      </w:pPr>
      <w:r w:rsidRPr="00B068A2">
        <w:t>Intervene as amicus – by the new IE</w:t>
      </w:r>
      <w:r>
        <w:t>-SOGI</w:t>
      </w:r>
      <w:r w:rsidRPr="00B068A2">
        <w:t xml:space="preserve"> mandate</w:t>
      </w:r>
      <w:r>
        <w:t>-holder in specific cases</w:t>
      </w:r>
    </w:p>
    <w:p w14:paraId="7A3B96EF" w14:textId="4A849A65" w:rsidR="0075434A" w:rsidRPr="00B068A2" w:rsidRDefault="0075434A" w:rsidP="002F5624">
      <w:pPr>
        <w:pStyle w:val="ListBulletLessSpace"/>
      </w:pPr>
      <w:r w:rsidRPr="00B068A2">
        <w:t>Maxim</w:t>
      </w:r>
      <w:r>
        <w:t>is</w:t>
      </w:r>
      <w:r w:rsidRPr="00B068A2">
        <w:t>e the positive normative context offered by the Yogyakarta Princip</w:t>
      </w:r>
      <w:r w:rsidR="00F4132E">
        <w:t>les in dealing with governments.</w:t>
      </w:r>
    </w:p>
    <w:p w14:paraId="1B1D13E1" w14:textId="0F4703B0" w:rsidR="0075434A" w:rsidRDefault="002F5624" w:rsidP="00FB54B4">
      <w:pPr>
        <w:pStyle w:val="Heading4"/>
      </w:pPr>
      <w:r>
        <w:t xml:space="preserve">Group 2: </w:t>
      </w:r>
      <w:r w:rsidR="0075434A" w:rsidRPr="00B068A2">
        <w:t>Engaging NHRIs</w:t>
      </w:r>
    </w:p>
    <w:p w14:paraId="45905E6D" w14:textId="21989244" w:rsidR="0075434A" w:rsidRPr="002F5624" w:rsidRDefault="0075434A" w:rsidP="002F5624">
      <w:pPr>
        <w:pStyle w:val="NormalTextBox"/>
        <w:rPr>
          <w:sz w:val="20"/>
          <w:szCs w:val="20"/>
        </w:rPr>
      </w:pPr>
      <w:r w:rsidRPr="002F5624">
        <w:rPr>
          <w:b/>
          <w:sz w:val="20"/>
          <w:szCs w:val="20"/>
        </w:rPr>
        <w:t>Rapporteur</w:t>
      </w:r>
      <w:r w:rsidR="002F5624" w:rsidRPr="002F5624">
        <w:rPr>
          <w:b/>
          <w:sz w:val="20"/>
          <w:szCs w:val="20"/>
        </w:rPr>
        <w:br/>
      </w:r>
      <w:r w:rsidRPr="002F5624">
        <w:rPr>
          <w:sz w:val="20"/>
          <w:szCs w:val="20"/>
        </w:rPr>
        <w:t>Ashwin Raj, Fiji Human Rights and Anti-Discrimination Commission</w:t>
      </w:r>
    </w:p>
    <w:p w14:paraId="21B6213D" w14:textId="77777777" w:rsidR="0075434A" w:rsidRPr="00B068A2" w:rsidRDefault="0075434A" w:rsidP="002F5624">
      <w:pPr>
        <w:pStyle w:val="ListBulletLessSpace"/>
      </w:pPr>
      <w:r w:rsidRPr="00B068A2">
        <w:t xml:space="preserve">NHRIs play a mediatory and interlocutory role with other agencies, therefore this role should be effectively exploited by LGBTI advocates </w:t>
      </w:r>
    </w:p>
    <w:p w14:paraId="6325DFB9" w14:textId="77777777" w:rsidR="0075434A" w:rsidRPr="00B068A2" w:rsidRDefault="0075434A" w:rsidP="002F5624">
      <w:pPr>
        <w:pStyle w:val="ListBulletLessSpace"/>
      </w:pPr>
      <w:r w:rsidRPr="00B068A2">
        <w:t xml:space="preserve">NHRIs are </w:t>
      </w:r>
      <w:r>
        <w:t>well</w:t>
      </w:r>
      <w:r w:rsidRPr="00B068A2">
        <w:t xml:space="preserve"> placed to educate the community and produce effective tools of engagement </w:t>
      </w:r>
    </w:p>
    <w:p w14:paraId="3F04AFBF" w14:textId="77777777" w:rsidR="0075434A" w:rsidRPr="00B068A2" w:rsidRDefault="0075434A" w:rsidP="002F5624">
      <w:pPr>
        <w:pStyle w:val="ListBulletLessSpace"/>
      </w:pPr>
      <w:r w:rsidRPr="00B068A2">
        <w:t>Recogn</w:t>
      </w:r>
      <w:r>
        <w:t>is</w:t>
      </w:r>
      <w:r w:rsidRPr="00B068A2">
        <w:t xml:space="preserve">e the key LGBTI issues that are core to the community context </w:t>
      </w:r>
    </w:p>
    <w:p w14:paraId="31D70FAC" w14:textId="77777777" w:rsidR="0075434A" w:rsidRPr="00B068A2" w:rsidRDefault="0075434A" w:rsidP="002F5624">
      <w:pPr>
        <w:pStyle w:val="ListBulletLessSpace"/>
      </w:pPr>
      <w:r w:rsidRPr="00B068A2">
        <w:t>Democrat</w:t>
      </w:r>
      <w:r>
        <w:t>ise</w:t>
      </w:r>
      <w:r w:rsidRPr="00B068A2">
        <w:t xml:space="preserve"> our understanding of the </w:t>
      </w:r>
      <w:r>
        <w:t>SOGIESC</w:t>
      </w:r>
      <w:r w:rsidRPr="00B068A2">
        <w:t xml:space="preserve"> issues and the Yogyakarta Principles</w:t>
      </w:r>
    </w:p>
    <w:p w14:paraId="228118CC" w14:textId="77777777" w:rsidR="0075434A" w:rsidRPr="00B068A2" w:rsidRDefault="0075434A" w:rsidP="002F5624">
      <w:pPr>
        <w:pStyle w:val="ListBulletLessSpace"/>
      </w:pPr>
      <w:r w:rsidRPr="00B068A2">
        <w:t>Communities do</w:t>
      </w:r>
      <w:r>
        <w:t xml:space="preserve"> not</w:t>
      </w:r>
      <w:r w:rsidRPr="00B068A2">
        <w:t xml:space="preserve"> necessar</w:t>
      </w:r>
      <w:r>
        <w:t>ily</w:t>
      </w:r>
      <w:r w:rsidRPr="00B068A2">
        <w:t xml:space="preserve"> understand the difference between sex and gender – therefore, more education and awareness activities could be conducted </w:t>
      </w:r>
      <w:r>
        <w:t>through</w:t>
      </w:r>
      <w:r w:rsidRPr="00B068A2">
        <w:t xml:space="preserve"> collaboration </w:t>
      </w:r>
      <w:r>
        <w:t>between</w:t>
      </w:r>
      <w:r w:rsidRPr="00B068A2">
        <w:t xml:space="preserve"> NHRIs and community groups </w:t>
      </w:r>
    </w:p>
    <w:p w14:paraId="4DA0FF62" w14:textId="77777777" w:rsidR="0075434A" w:rsidRPr="00B068A2" w:rsidRDefault="0075434A" w:rsidP="002F5624">
      <w:pPr>
        <w:pStyle w:val="ListBulletLessSpace"/>
      </w:pPr>
      <w:r w:rsidRPr="00B068A2">
        <w:t xml:space="preserve">Fully exploit the community mandate of NHRIs </w:t>
      </w:r>
    </w:p>
    <w:p w14:paraId="34723210" w14:textId="77777777" w:rsidR="0075434A" w:rsidRPr="00B068A2" w:rsidRDefault="0075434A" w:rsidP="002F5624">
      <w:pPr>
        <w:pStyle w:val="ListBulletLessSpace"/>
      </w:pPr>
      <w:r w:rsidRPr="00B068A2">
        <w:t>Understand the powers of NHRIs and use those powers to address discrimination, violence and other forms of human rights violations against LGBTI</w:t>
      </w:r>
      <w:r>
        <w:t xml:space="preserve"> people</w:t>
      </w:r>
    </w:p>
    <w:p w14:paraId="1BF75307" w14:textId="77777777" w:rsidR="0075434A" w:rsidRPr="00B068A2" w:rsidRDefault="0075434A" w:rsidP="002F5624">
      <w:pPr>
        <w:pStyle w:val="ListBulletLessSpace"/>
      </w:pPr>
      <w:r w:rsidRPr="00B068A2">
        <w:t>Recogn</w:t>
      </w:r>
      <w:r>
        <w:t>is</w:t>
      </w:r>
      <w:r w:rsidRPr="00B068A2">
        <w:t>e the intersectional issues – e</w:t>
      </w:r>
      <w:r>
        <w:t>.</w:t>
      </w:r>
      <w:r w:rsidRPr="00B068A2">
        <w:t xml:space="preserve">g. Freedom </w:t>
      </w:r>
      <w:r>
        <w:t xml:space="preserve">of </w:t>
      </w:r>
      <w:r w:rsidRPr="00B068A2">
        <w:t>expression and hate</w:t>
      </w:r>
      <w:r>
        <w:t xml:space="preserve"> speech</w:t>
      </w:r>
      <w:r w:rsidRPr="00B068A2">
        <w:t>; freedom of religion and violence against LGBTI</w:t>
      </w:r>
    </w:p>
    <w:p w14:paraId="7A38E465" w14:textId="77777777" w:rsidR="0075434A" w:rsidRPr="00B068A2" w:rsidRDefault="0075434A" w:rsidP="002F5624">
      <w:pPr>
        <w:pStyle w:val="ListBulletLessSpace"/>
      </w:pPr>
      <w:r w:rsidRPr="00B068A2">
        <w:t>Linkages between Civil and Political Rights and Economic, Social and Cultural rights in the context of LGBTI rights</w:t>
      </w:r>
    </w:p>
    <w:p w14:paraId="739EE103" w14:textId="77777777" w:rsidR="0075434A" w:rsidRPr="00B068A2" w:rsidRDefault="0075434A" w:rsidP="002F5624">
      <w:pPr>
        <w:pStyle w:val="ListBulletLessSpace"/>
      </w:pPr>
      <w:r w:rsidRPr="00B068A2">
        <w:t xml:space="preserve">Identify ways in which the </w:t>
      </w:r>
      <w:r>
        <w:t>SOGIESC</w:t>
      </w:r>
      <w:r w:rsidRPr="00B068A2">
        <w:t xml:space="preserve"> agenda can be mainstreamed and included in the works of NHRIs</w:t>
      </w:r>
    </w:p>
    <w:p w14:paraId="312B26B4" w14:textId="77777777" w:rsidR="0075434A" w:rsidRPr="00B068A2" w:rsidRDefault="0075434A" w:rsidP="002F5624">
      <w:pPr>
        <w:pStyle w:val="ListBulletLessSpace"/>
      </w:pPr>
      <w:r w:rsidRPr="00B068A2">
        <w:t>Recogn</w:t>
      </w:r>
      <w:r>
        <w:t>is</w:t>
      </w:r>
      <w:r w:rsidRPr="00B068A2">
        <w:t xml:space="preserve">e the right to narrate – being able to narrate the experiences and stories of LGBTI community </w:t>
      </w:r>
    </w:p>
    <w:p w14:paraId="5F788F8C" w14:textId="77777777" w:rsidR="0075434A" w:rsidRPr="00B068A2" w:rsidRDefault="0075434A" w:rsidP="002F5624">
      <w:pPr>
        <w:pStyle w:val="ListBulletLessSpace"/>
      </w:pPr>
      <w:r w:rsidRPr="00B068A2">
        <w:t xml:space="preserve">NHRIs can produce disaggregated data to build strong cases which can be litigated or addressed through state policy </w:t>
      </w:r>
    </w:p>
    <w:p w14:paraId="2F27C4A1" w14:textId="77777777" w:rsidR="0075434A" w:rsidRPr="00B068A2" w:rsidRDefault="0075434A" w:rsidP="002F5624">
      <w:pPr>
        <w:pStyle w:val="ListBulletLessSpace"/>
      </w:pPr>
      <w:r w:rsidRPr="00B068A2">
        <w:t xml:space="preserve">Possibility of forming sub-regional groups of cooperation, and address common interests and concerns </w:t>
      </w:r>
    </w:p>
    <w:p w14:paraId="23AF1501" w14:textId="2538785C" w:rsidR="0075434A" w:rsidRPr="00B068A2" w:rsidRDefault="0075434A" w:rsidP="002F5624">
      <w:pPr>
        <w:pStyle w:val="ListBulletLessSpace"/>
      </w:pPr>
      <w:r w:rsidRPr="00B068A2">
        <w:t>Use the economics and the business case behind human rights violations of LGBTI</w:t>
      </w:r>
      <w:r>
        <w:t xml:space="preserve"> people</w:t>
      </w:r>
      <w:r w:rsidR="00F3764F">
        <w:t xml:space="preserve"> </w:t>
      </w:r>
    </w:p>
    <w:p w14:paraId="0EC589E7" w14:textId="77777777" w:rsidR="0075434A" w:rsidRPr="00B068A2" w:rsidRDefault="0075434A" w:rsidP="002F5624">
      <w:pPr>
        <w:pStyle w:val="ListBulletLessSpace"/>
      </w:pPr>
      <w:r w:rsidRPr="00B068A2">
        <w:t xml:space="preserve">Use various ways in which constructive engagement with all relevant institutions can be used </w:t>
      </w:r>
    </w:p>
    <w:p w14:paraId="4B4821C8" w14:textId="77777777" w:rsidR="0075434A" w:rsidRPr="00B068A2" w:rsidRDefault="0075434A" w:rsidP="002F5624">
      <w:pPr>
        <w:pStyle w:val="ListBulletLessSpace"/>
      </w:pPr>
      <w:r w:rsidRPr="00B068A2">
        <w:t>Recogn</w:t>
      </w:r>
      <w:r>
        <w:t>is</w:t>
      </w:r>
      <w:r w:rsidRPr="00B068A2">
        <w:t>e the jurisdictional limitations of NHRIs in certain issues, and optim</w:t>
      </w:r>
      <w:r>
        <w:t>is</w:t>
      </w:r>
      <w:r w:rsidRPr="00B068A2">
        <w:t xml:space="preserve">e the engagement in all salient areas </w:t>
      </w:r>
    </w:p>
    <w:p w14:paraId="2944DEB5" w14:textId="77777777" w:rsidR="0075434A" w:rsidRPr="00B068A2" w:rsidRDefault="0075434A" w:rsidP="002F5624">
      <w:pPr>
        <w:pStyle w:val="ListBulletLessSpace"/>
      </w:pPr>
      <w:r w:rsidRPr="00B068A2">
        <w:t>Give full consideration to social apparatus and legal, political and cultural realities while addressing LGBTI concerns and promoting</w:t>
      </w:r>
      <w:r>
        <w:t xml:space="preserve"> the</w:t>
      </w:r>
      <w:r w:rsidRPr="00B068A2">
        <w:t xml:space="preserve"> Yogyakarta Principles</w:t>
      </w:r>
    </w:p>
    <w:p w14:paraId="5220928E" w14:textId="5C23F1D3" w:rsidR="0075434A" w:rsidRDefault="0075434A" w:rsidP="00F4132E">
      <w:pPr>
        <w:pStyle w:val="ListBulletLessSpace"/>
      </w:pPr>
      <w:r w:rsidRPr="00B068A2">
        <w:t>Use multiple narratives of culture – instead of ‘</w:t>
      </w:r>
      <w:proofErr w:type="spellStart"/>
      <w:r w:rsidRPr="00B068A2">
        <w:t>monolith</w:t>
      </w:r>
      <w:r>
        <w:t>is</w:t>
      </w:r>
      <w:r w:rsidRPr="00B068A2">
        <w:t>ing</w:t>
      </w:r>
      <w:proofErr w:type="spellEnd"/>
      <w:r w:rsidRPr="00B068A2">
        <w:t>’ the cultural reality</w:t>
      </w:r>
      <w:r w:rsidR="00F4132E">
        <w:t>.</w:t>
      </w:r>
    </w:p>
    <w:p w14:paraId="0820CAFE" w14:textId="3265380D" w:rsidR="0075434A" w:rsidRDefault="002F5624" w:rsidP="00FB54B4">
      <w:pPr>
        <w:pStyle w:val="Heading4"/>
      </w:pPr>
      <w:r>
        <w:lastRenderedPageBreak/>
        <w:t xml:space="preserve">Group 3: </w:t>
      </w:r>
      <w:r w:rsidR="0075434A" w:rsidRPr="00B068A2">
        <w:t>Engaging CSO</w:t>
      </w:r>
      <w:r w:rsidR="0075434A">
        <w:t>s</w:t>
      </w:r>
    </w:p>
    <w:p w14:paraId="6D181E54" w14:textId="4070ED2E" w:rsidR="0075434A" w:rsidRPr="00F4132E" w:rsidRDefault="0075434A" w:rsidP="00F4132E">
      <w:pPr>
        <w:pStyle w:val="NormalTextBox"/>
        <w:rPr>
          <w:i/>
          <w:sz w:val="20"/>
          <w:szCs w:val="20"/>
        </w:rPr>
      </w:pPr>
      <w:r w:rsidRPr="00F4132E">
        <w:rPr>
          <w:b/>
          <w:sz w:val="20"/>
          <w:szCs w:val="20"/>
        </w:rPr>
        <w:t>Rapporteur</w:t>
      </w:r>
      <w:r w:rsidR="00F4132E" w:rsidRPr="00F4132E">
        <w:rPr>
          <w:b/>
          <w:sz w:val="20"/>
          <w:szCs w:val="20"/>
        </w:rPr>
        <w:br/>
      </w:r>
      <w:r w:rsidRPr="00F4132E">
        <w:rPr>
          <w:sz w:val="20"/>
          <w:szCs w:val="20"/>
        </w:rPr>
        <w:t>Bin Xu, Common Language</w:t>
      </w:r>
    </w:p>
    <w:p w14:paraId="51507539" w14:textId="77777777" w:rsidR="0075434A" w:rsidRPr="00B068A2" w:rsidRDefault="0075434A" w:rsidP="00F4132E">
      <w:pPr>
        <w:pStyle w:val="ListBulletLessSpace"/>
      </w:pPr>
      <w:r w:rsidRPr="00B068A2">
        <w:t xml:space="preserve">There is an urgent need to educate the community </w:t>
      </w:r>
      <w:r>
        <w:t>to increase their awareness on the reality of LGBTI rights</w:t>
      </w:r>
    </w:p>
    <w:p w14:paraId="16ADFD87" w14:textId="77777777" w:rsidR="0075434A" w:rsidRPr="00B068A2" w:rsidRDefault="0075434A" w:rsidP="00F4132E">
      <w:pPr>
        <w:pStyle w:val="ListBulletLessSpace"/>
      </w:pPr>
      <w:r w:rsidRPr="00B068A2">
        <w:t xml:space="preserve">Train young and passionate activists to be vocal about ongoing serious violations of rights </w:t>
      </w:r>
    </w:p>
    <w:p w14:paraId="2BE3D426" w14:textId="77777777" w:rsidR="0075434A" w:rsidRPr="00B068A2" w:rsidRDefault="0075434A" w:rsidP="00F4132E">
      <w:pPr>
        <w:pStyle w:val="ListBulletLessSpace"/>
      </w:pPr>
      <w:r w:rsidRPr="00B068A2">
        <w:t xml:space="preserve">Develop and widely use creative promotional materials on </w:t>
      </w:r>
      <w:r>
        <w:t xml:space="preserve">the </w:t>
      </w:r>
      <w:r w:rsidRPr="00B068A2">
        <w:t>Yogyakarta Principles, such as comic books and mobile phone apps</w:t>
      </w:r>
    </w:p>
    <w:p w14:paraId="5E4E80CE" w14:textId="77777777" w:rsidR="0075434A" w:rsidRPr="00B068A2" w:rsidRDefault="0075434A" w:rsidP="00F4132E">
      <w:pPr>
        <w:pStyle w:val="ListBulletLessSpace"/>
      </w:pPr>
      <w:r w:rsidRPr="00B068A2">
        <w:t xml:space="preserve">There is a need to be creative in translating the language of the Yogyakarta Principles not only into the local language, but also to the local context </w:t>
      </w:r>
    </w:p>
    <w:p w14:paraId="04B05839" w14:textId="77777777" w:rsidR="0075434A" w:rsidRPr="00B068A2" w:rsidRDefault="0075434A" w:rsidP="00F4132E">
      <w:pPr>
        <w:pStyle w:val="ListBulletLessSpace"/>
      </w:pPr>
      <w:r w:rsidRPr="00B068A2">
        <w:t xml:space="preserve">Fiji developed a submission to the Constitution using the language of the Yogyakarta Principles, through the initiative of the community groups </w:t>
      </w:r>
    </w:p>
    <w:p w14:paraId="7C354012" w14:textId="77777777" w:rsidR="0075434A" w:rsidRPr="00B068A2" w:rsidRDefault="0075434A" w:rsidP="00F4132E">
      <w:pPr>
        <w:pStyle w:val="ListBulletLessSpace"/>
      </w:pPr>
      <w:r w:rsidRPr="00B068A2">
        <w:t>Activists can use the Yogyakarta Principles when drafting reports to the international mechanisms</w:t>
      </w:r>
    </w:p>
    <w:p w14:paraId="21E7E9AD" w14:textId="77777777" w:rsidR="0075434A" w:rsidRPr="00B068A2" w:rsidRDefault="0075434A" w:rsidP="00F4132E">
      <w:pPr>
        <w:pStyle w:val="ListBulletLessSpace"/>
      </w:pPr>
      <w:r w:rsidRPr="00B068A2">
        <w:t>Build alliance</w:t>
      </w:r>
      <w:r>
        <w:t>s</w:t>
      </w:r>
      <w:r w:rsidRPr="00B068A2">
        <w:t xml:space="preserve"> in national and international advocacy to promote the </w:t>
      </w:r>
      <w:r>
        <w:t>Principles</w:t>
      </w:r>
      <w:r w:rsidRPr="00B068A2">
        <w:t xml:space="preserve"> and </w:t>
      </w:r>
      <w:r>
        <w:t>their</w:t>
      </w:r>
      <w:r w:rsidRPr="00B068A2">
        <w:t xml:space="preserve"> application </w:t>
      </w:r>
    </w:p>
    <w:p w14:paraId="58FC647E" w14:textId="77777777" w:rsidR="0075434A" w:rsidRPr="00B068A2" w:rsidRDefault="0075434A" w:rsidP="00F4132E">
      <w:pPr>
        <w:pStyle w:val="ListBulletLessSpace"/>
      </w:pPr>
      <w:r w:rsidRPr="00B068A2">
        <w:t xml:space="preserve">Include </w:t>
      </w:r>
      <w:proofErr w:type="gramStart"/>
      <w:r>
        <w:t>a rights</w:t>
      </w:r>
      <w:proofErr w:type="gramEnd"/>
      <w:r>
        <w:t xml:space="preserve"> based approach in SOGIESC based </w:t>
      </w:r>
      <w:r w:rsidRPr="00B068A2">
        <w:t>research</w:t>
      </w:r>
    </w:p>
    <w:p w14:paraId="65A81D06" w14:textId="77777777" w:rsidR="0075434A" w:rsidRPr="00B068A2" w:rsidRDefault="0075434A" w:rsidP="00F4132E">
      <w:pPr>
        <w:pStyle w:val="ListBulletLessSpace"/>
      </w:pPr>
      <w:r w:rsidRPr="00B068A2">
        <w:t>Economic cost approach works with LGBTI rights – community based organ</w:t>
      </w:r>
      <w:r>
        <w:t>is</w:t>
      </w:r>
      <w:r w:rsidRPr="00B068A2">
        <w:t xml:space="preserve">ations could lead this work </w:t>
      </w:r>
    </w:p>
    <w:p w14:paraId="7D6E548E" w14:textId="4747C7F7" w:rsidR="0075434A" w:rsidRPr="00B068A2" w:rsidRDefault="0075434A" w:rsidP="00F4132E">
      <w:pPr>
        <w:pStyle w:val="ListBulletLessSpace"/>
      </w:pPr>
      <w:r>
        <w:t>The almost total a</w:t>
      </w:r>
      <w:r w:rsidRPr="00B068A2">
        <w:t xml:space="preserve">bsence of </w:t>
      </w:r>
      <w:r>
        <w:t>i</w:t>
      </w:r>
      <w:r w:rsidRPr="00B068A2">
        <w:t xml:space="preserve">ntersex </w:t>
      </w:r>
      <w:r>
        <w:t xml:space="preserve">issues and language </w:t>
      </w:r>
      <w:r w:rsidRPr="00B068A2">
        <w:t>in the Yogyakarta Principles should be addressed</w:t>
      </w:r>
      <w:r w:rsidR="00F4132E">
        <w:t>.</w:t>
      </w:r>
    </w:p>
    <w:p w14:paraId="0CAEC293" w14:textId="70241EA4" w:rsidR="0075434A" w:rsidRDefault="002F5624" w:rsidP="00FB54B4">
      <w:pPr>
        <w:pStyle w:val="Heading4"/>
      </w:pPr>
      <w:r>
        <w:t xml:space="preserve">Group 4: </w:t>
      </w:r>
      <w:r w:rsidR="0075434A" w:rsidRPr="00B068A2">
        <w:t xml:space="preserve">Engaging UN agencies </w:t>
      </w:r>
    </w:p>
    <w:p w14:paraId="276B45F7" w14:textId="72306F2D" w:rsidR="0075434A" w:rsidRPr="00F4132E" w:rsidRDefault="0075434A" w:rsidP="00F4132E">
      <w:pPr>
        <w:pStyle w:val="NormalTextBox"/>
        <w:rPr>
          <w:i/>
          <w:sz w:val="20"/>
          <w:szCs w:val="20"/>
        </w:rPr>
      </w:pPr>
      <w:r w:rsidRPr="00F4132E">
        <w:rPr>
          <w:b/>
          <w:sz w:val="20"/>
          <w:szCs w:val="20"/>
        </w:rPr>
        <w:t>Rapporteur</w:t>
      </w:r>
      <w:r w:rsidR="00F4132E">
        <w:rPr>
          <w:b/>
          <w:sz w:val="20"/>
          <w:szCs w:val="20"/>
        </w:rPr>
        <w:br/>
      </w:r>
      <w:r w:rsidRPr="00F4132E">
        <w:rPr>
          <w:sz w:val="20"/>
          <w:szCs w:val="20"/>
        </w:rPr>
        <w:t>Brianna Harrison, UNAIDS</w:t>
      </w:r>
    </w:p>
    <w:p w14:paraId="5967CFEC" w14:textId="77777777" w:rsidR="0075434A" w:rsidRPr="00B068A2" w:rsidRDefault="0075434A" w:rsidP="00F4132E">
      <w:pPr>
        <w:pStyle w:val="ListBulletLessSpace"/>
      </w:pPr>
      <w:r w:rsidRPr="00B068A2">
        <w:t>It is important to recogn</w:t>
      </w:r>
      <w:r>
        <w:t>is</w:t>
      </w:r>
      <w:r w:rsidRPr="00B068A2">
        <w:t xml:space="preserve">e that the UN system is diverse and there are so many entry points to influence </w:t>
      </w:r>
    </w:p>
    <w:p w14:paraId="7EA07D9A" w14:textId="77777777" w:rsidR="0075434A" w:rsidRPr="00B068A2" w:rsidRDefault="0075434A" w:rsidP="00F4132E">
      <w:pPr>
        <w:pStyle w:val="ListBulletLessSpace"/>
      </w:pPr>
      <w:r w:rsidRPr="00B068A2">
        <w:t>UN agencies can also develop stronger policies internally to sensit</w:t>
      </w:r>
      <w:r>
        <w:t>is</w:t>
      </w:r>
      <w:r w:rsidRPr="00B068A2">
        <w:t xml:space="preserve">e staff </w:t>
      </w:r>
      <w:r>
        <w:t>on the</w:t>
      </w:r>
      <w:r w:rsidRPr="00B068A2">
        <w:t xml:space="preserve"> Yogyakarta Principles and </w:t>
      </w:r>
      <w:r>
        <w:t>SOGIESC</w:t>
      </w:r>
      <w:r w:rsidRPr="00B068A2">
        <w:t xml:space="preserve"> issues </w:t>
      </w:r>
    </w:p>
    <w:p w14:paraId="6DFF7A39" w14:textId="77777777" w:rsidR="0075434A" w:rsidRPr="00B068A2" w:rsidRDefault="0075434A" w:rsidP="00F4132E">
      <w:pPr>
        <w:pStyle w:val="ListBulletLessSpace"/>
      </w:pPr>
      <w:r w:rsidRPr="00B068A2">
        <w:t>There is a need to develop broader attention to gender identity issues</w:t>
      </w:r>
    </w:p>
    <w:p w14:paraId="7D00D184" w14:textId="77777777" w:rsidR="0075434A" w:rsidRPr="00B068A2" w:rsidRDefault="0075434A" w:rsidP="00F4132E">
      <w:pPr>
        <w:pStyle w:val="ListBulletLessSpace"/>
      </w:pPr>
      <w:r w:rsidRPr="00B068A2">
        <w:t xml:space="preserve">Better integration and reflection of the Yogyakarta Principles into the work programmes </w:t>
      </w:r>
    </w:p>
    <w:p w14:paraId="2372BC0D" w14:textId="77777777" w:rsidR="0075434A" w:rsidRPr="00B068A2" w:rsidRDefault="0075434A" w:rsidP="00F4132E">
      <w:pPr>
        <w:pStyle w:val="ListBulletLessSpace"/>
      </w:pPr>
      <w:r w:rsidRPr="00B068A2">
        <w:t>C</w:t>
      </w:r>
      <w:r>
        <w:t>ommon country assessments must better</w:t>
      </w:r>
      <w:r w:rsidRPr="00B068A2">
        <w:t xml:space="preserve"> integrate </w:t>
      </w:r>
      <w:r>
        <w:t xml:space="preserve">the </w:t>
      </w:r>
      <w:r w:rsidRPr="00B068A2">
        <w:t>Yogyakarta Principles</w:t>
      </w:r>
    </w:p>
    <w:p w14:paraId="03A50562" w14:textId="77777777" w:rsidR="0075434A" w:rsidRPr="00B068A2" w:rsidRDefault="0075434A" w:rsidP="00F4132E">
      <w:pPr>
        <w:pStyle w:val="ListBulletLessSpace"/>
      </w:pPr>
      <w:r w:rsidRPr="00B068A2">
        <w:t xml:space="preserve">“Being LGBTI in Asia” as a flagship programme of UN agencies </w:t>
      </w:r>
      <w:r>
        <w:t xml:space="preserve">is recognized and valued </w:t>
      </w:r>
    </w:p>
    <w:p w14:paraId="6CCC3F17" w14:textId="111FC24D" w:rsidR="0075434A" w:rsidRPr="00B068A2" w:rsidRDefault="0075434A" w:rsidP="00F4132E">
      <w:pPr>
        <w:pStyle w:val="ListBulletLessSpace"/>
      </w:pPr>
      <w:r>
        <w:t xml:space="preserve">The WHO’s current review of the </w:t>
      </w:r>
      <w:r w:rsidRPr="00B068A2">
        <w:t>International Classification of Diseases (ICD) needs to recogn</w:t>
      </w:r>
      <w:r>
        <w:t>is</w:t>
      </w:r>
      <w:r w:rsidRPr="00B068A2">
        <w:t xml:space="preserve">e </w:t>
      </w:r>
      <w:r>
        <w:t xml:space="preserve">the </w:t>
      </w:r>
      <w:r w:rsidR="00F3764F">
        <w:t>–</w:t>
      </w:r>
      <w:r w:rsidRPr="00B068A2">
        <w:t xml:space="preserve"> human rights of people with intersex variations </w:t>
      </w:r>
    </w:p>
    <w:p w14:paraId="729D41EC" w14:textId="77777777" w:rsidR="0075434A" w:rsidRPr="00B068A2" w:rsidRDefault="0075434A" w:rsidP="00F4132E">
      <w:pPr>
        <w:pStyle w:val="ListBulletLessSpace"/>
      </w:pPr>
      <w:r w:rsidRPr="00B068A2">
        <w:t>Importance of drawing red lines and identify accountability areas</w:t>
      </w:r>
    </w:p>
    <w:p w14:paraId="15F70295" w14:textId="77777777" w:rsidR="0075434A" w:rsidRPr="00B068A2" w:rsidRDefault="0075434A" w:rsidP="00F4132E">
      <w:pPr>
        <w:pStyle w:val="ListBulletLessSpace"/>
      </w:pPr>
      <w:r w:rsidRPr="00B068A2">
        <w:t xml:space="preserve">Enhancing engagement with CSOs </w:t>
      </w:r>
    </w:p>
    <w:p w14:paraId="402ACDBE" w14:textId="77777777" w:rsidR="0075434A" w:rsidRPr="00B068A2" w:rsidRDefault="0075434A" w:rsidP="00F4132E">
      <w:pPr>
        <w:pStyle w:val="ListBulletLessSpace"/>
      </w:pPr>
      <w:r w:rsidRPr="00B068A2">
        <w:lastRenderedPageBreak/>
        <w:t xml:space="preserve">UN agencies could play a stronger and visible role in advocating </w:t>
      </w:r>
      <w:r>
        <w:t xml:space="preserve">for the </w:t>
      </w:r>
      <w:r w:rsidRPr="00B068A2">
        <w:t xml:space="preserve">Yogyakarta Principles and </w:t>
      </w:r>
      <w:r>
        <w:t>their</w:t>
      </w:r>
      <w:r w:rsidRPr="00B068A2">
        <w:t xml:space="preserve"> implementation </w:t>
      </w:r>
    </w:p>
    <w:p w14:paraId="4523D408" w14:textId="2DADADC1" w:rsidR="0075434A" w:rsidRPr="00B068A2" w:rsidRDefault="0075434A" w:rsidP="00F4132E">
      <w:pPr>
        <w:pStyle w:val="ListBulletLessSpace"/>
      </w:pPr>
      <w:r w:rsidRPr="00B068A2">
        <w:t xml:space="preserve">Issue of programming and using SDGs as entry points for </w:t>
      </w:r>
      <w:r>
        <w:t>Principle</w:t>
      </w:r>
      <w:r w:rsidRPr="00B068A2">
        <w:t xml:space="preserve">s </w:t>
      </w:r>
      <w:r w:rsidR="00F3764F">
        <w:t>–</w:t>
      </w:r>
      <w:r w:rsidRPr="00B068A2">
        <w:t xml:space="preserve"> Operational</w:t>
      </w:r>
      <w:r>
        <w:t>is</w:t>
      </w:r>
      <w:r w:rsidRPr="00B068A2">
        <w:t xml:space="preserve">ation of </w:t>
      </w:r>
      <w:r>
        <w:t>the Principles</w:t>
      </w:r>
      <w:r w:rsidRPr="00B068A2">
        <w:t xml:space="preserve"> through entry points in SDGs</w:t>
      </w:r>
    </w:p>
    <w:p w14:paraId="0A8A00DD" w14:textId="77777777" w:rsidR="0075434A" w:rsidRDefault="0075434A" w:rsidP="00F4132E">
      <w:pPr>
        <w:pStyle w:val="ListBulletLessSpace"/>
      </w:pPr>
      <w:r w:rsidRPr="00B068A2">
        <w:t>Building partnerships around the UN and LGBT</w:t>
      </w:r>
      <w:r>
        <w:t>I</w:t>
      </w:r>
      <w:r w:rsidRPr="00B068A2">
        <w:t xml:space="preserve"> communities and providing legal support and advice</w:t>
      </w:r>
    </w:p>
    <w:p w14:paraId="6B4FDC79" w14:textId="18E9B214" w:rsidR="0075434A" w:rsidRPr="00A1604E" w:rsidRDefault="0075434A" w:rsidP="00F4132E">
      <w:pPr>
        <w:pStyle w:val="ListBulletLessSpace"/>
      </w:pPr>
      <w:r>
        <w:t>Improve inclusion of intersex people and their issues in UN devel</w:t>
      </w:r>
      <w:r w:rsidR="00F4132E">
        <w:t>opment documents and strategies.</w:t>
      </w:r>
    </w:p>
    <w:p w14:paraId="71CA0504" w14:textId="2B6348DC" w:rsidR="0075434A" w:rsidRPr="00FB54B4" w:rsidRDefault="0075434A" w:rsidP="00FB54B4">
      <w:r w:rsidRPr="00FB54B4">
        <w:t xml:space="preserve">Overall, all </w:t>
      </w:r>
      <w:r w:rsidR="00F4132E">
        <w:t>four</w:t>
      </w:r>
      <w:r w:rsidRPr="00FB54B4">
        <w:t xml:space="preserve"> groups provided insights into new techniques for enhancing cooperation with the key stakeholders. </w:t>
      </w:r>
    </w:p>
    <w:p w14:paraId="6E2F5C6B" w14:textId="77777777" w:rsidR="0075434A" w:rsidRPr="00FB54B4" w:rsidRDefault="0075434A" w:rsidP="00FB54B4">
      <w:r w:rsidRPr="00FB54B4">
        <w:t xml:space="preserve">At the end of the day, the idea was proposed to nominate the Yogyakarta Principles, or the key people involved in their development and promotion, for the Nobel Peace Prize. This was seen as a way to bring SOGIESC issues to the forefront of international efforts. Creative proposals to take this idea forward and mobilisation of support from NHRIs and other agencies was called for. </w:t>
      </w:r>
    </w:p>
    <w:p w14:paraId="29F9595A" w14:textId="77777777" w:rsidR="0075434A" w:rsidRPr="00FB54B4" w:rsidRDefault="0075434A" w:rsidP="00FB54B4">
      <w:r w:rsidRPr="00FB54B4">
        <w:br w:type="page"/>
      </w:r>
    </w:p>
    <w:p w14:paraId="5DE59B80" w14:textId="7317011E" w:rsidR="0075434A" w:rsidRPr="00B068A2" w:rsidRDefault="00FB54B4" w:rsidP="00FB54B4">
      <w:pPr>
        <w:pStyle w:val="Heading1"/>
      </w:pPr>
      <w:bookmarkStart w:id="58" w:name="_Toc489441318"/>
      <w:bookmarkStart w:id="59" w:name="_Toc491332770"/>
      <w:r>
        <w:lastRenderedPageBreak/>
        <w:t>5.</w:t>
      </w:r>
      <w:r>
        <w:tab/>
      </w:r>
      <w:r w:rsidR="005F0A5C">
        <w:t>Summary of p</w:t>
      </w:r>
      <w:r w:rsidR="0075434A" w:rsidRPr="00B068A2">
        <w:t>roceedings</w:t>
      </w:r>
      <w:r>
        <w:t xml:space="preserve"> – D</w:t>
      </w:r>
      <w:r w:rsidR="0075434A" w:rsidRPr="00B068A2">
        <w:t>ay 2</w:t>
      </w:r>
      <w:bookmarkEnd w:id="58"/>
      <w:bookmarkEnd w:id="59"/>
    </w:p>
    <w:p w14:paraId="25CC91E3" w14:textId="77777777" w:rsidR="0075434A" w:rsidRPr="00B068A2" w:rsidRDefault="0075434A" w:rsidP="00701490">
      <w:pPr>
        <w:pStyle w:val="Heading2"/>
      </w:pPr>
      <w:bookmarkStart w:id="60" w:name="_Toc489441319"/>
      <w:bookmarkStart w:id="61" w:name="_Toc491332771"/>
      <w:r w:rsidRPr="00B068A2">
        <w:t>Session 6: Thematic workstation sessions</w:t>
      </w:r>
      <w:bookmarkEnd w:id="60"/>
      <w:bookmarkEnd w:id="61"/>
    </w:p>
    <w:p w14:paraId="34056F95" w14:textId="1B57FAE9" w:rsidR="0075434A" w:rsidRPr="00B068A2" w:rsidRDefault="0075434A" w:rsidP="00FB54B4">
      <w:r w:rsidRPr="00B068A2">
        <w:t xml:space="preserve">After recapping the discussions of the first day of the conference, day 2 began with thematic workstation </w:t>
      </w:r>
      <w:r w:rsidRPr="00FB54B4">
        <w:t>sessions</w:t>
      </w:r>
      <w:r w:rsidRPr="00B068A2">
        <w:t>. The sessions were designed to brainstorm and discuss (</w:t>
      </w:r>
      <w:proofErr w:type="spellStart"/>
      <w:r w:rsidRPr="00B068A2">
        <w:t>i</w:t>
      </w:r>
      <w:proofErr w:type="spellEnd"/>
      <w:r w:rsidRPr="00B068A2">
        <w:t xml:space="preserve">) gaps in the Yogyakarta Principles in relation to the workstation topic; and (ii) the roles of specific actors in implementing the Yogyakarta Principles and evolving international human rights standards. The </w:t>
      </w:r>
      <w:r w:rsidR="00900F08">
        <w:t>eight</w:t>
      </w:r>
      <w:r w:rsidRPr="00B068A2">
        <w:t xml:space="preserve"> thematic groups addressed: </w:t>
      </w:r>
    </w:p>
    <w:p w14:paraId="4F9670DC" w14:textId="56E8DC55" w:rsidR="0075434A" w:rsidRPr="00B068A2" w:rsidRDefault="0075434A" w:rsidP="00F4132E">
      <w:pPr>
        <w:pStyle w:val="ListBulletLessSpace"/>
      </w:pPr>
      <w:r w:rsidRPr="00B068A2">
        <w:t>Workstation 1: Intersex</w:t>
      </w:r>
      <w:r w:rsidR="00F4132E">
        <w:t xml:space="preserve"> people/sex c</w:t>
      </w:r>
      <w:r>
        <w:t xml:space="preserve">haracteristics </w:t>
      </w:r>
    </w:p>
    <w:p w14:paraId="59747792" w14:textId="52F0B020" w:rsidR="0075434A" w:rsidRPr="00B068A2" w:rsidRDefault="00F4132E" w:rsidP="00F4132E">
      <w:pPr>
        <w:pStyle w:val="ListBulletLessSpace"/>
      </w:pPr>
      <w:r>
        <w:t>Workstation 2: Gender i</w:t>
      </w:r>
      <w:r w:rsidR="0075434A" w:rsidRPr="00B068A2">
        <w:t>dentity</w:t>
      </w:r>
      <w:r>
        <w:t xml:space="preserve"> and e</w:t>
      </w:r>
      <w:r w:rsidR="0075434A">
        <w:t xml:space="preserve">xpression </w:t>
      </w:r>
    </w:p>
    <w:p w14:paraId="641BF919" w14:textId="36661F7A" w:rsidR="0075434A" w:rsidRPr="00B068A2" w:rsidRDefault="0075434A" w:rsidP="00F4132E">
      <w:pPr>
        <w:pStyle w:val="ListBulletLessSpace"/>
      </w:pPr>
      <w:r w:rsidRPr="00B068A2">
        <w:t xml:space="preserve">Workstation </w:t>
      </w:r>
      <w:r w:rsidR="00F4132E">
        <w:t>3: Faith, culture and f</w:t>
      </w:r>
      <w:r w:rsidRPr="00B068A2">
        <w:t>amily</w:t>
      </w:r>
    </w:p>
    <w:p w14:paraId="203024DA" w14:textId="50CA6434" w:rsidR="0075434A" w:rsidRPr="00B068A2" w:rsidRDefault="00F4132E" w:rsidP="00F4132E">
      <w:pPr>
        <w:pStyle w:val="ListBulletLessSpace"/>
      </w:pPr>
      <w:r>
        <w:t>Workstation 4: Violence and e</w:t>
      </w:r>
      <w:r w:rsidR="0075434A" w:rsidRPr="00B068A2">
        <w:t>xtremism</w:t>
      </w:r>
    </w:p>
    <w:p w14:paraId="720280D4" w14:textId="79DC62AB" w:rsidR="0075434A" w:rsidRPr="00B068A2" w:rsidRDefault="00F4132E" w:rsidP="00F4132E">
      <w:pPr>
        <w:pStyle w:val="ListBulletLessSpace"/>
      </w:pPr>
      <w:r>
        <w:t>Workstation 5: Legal p</w:t>
      </w:r>
      <w:r w:rsidR="0075434A" w:rsidRPr="00B068A2">
        <w:t>rotection</w:t>
      </w:r>
    </w:p>
    <w:p w14:paraId="651549B6" w14:textId="35B44359" w:rsidR="0075434A" w:rsidRPr="00B068A2" w:rsidRDefault="00F4132E" w:rsidP="00F4132E">
      <w:pPr>
        <w:pStyle w:val="ListBulletLessSpace"/>
      </w:pPr>
      <w:r>
        <w:t>Workstation 6: Legal o</w:t>
      </w:r>
      <w:r w:rsidR="0075434A" w:rsidRPr="00B068A2">
        <w:t>ppression</w:t>
      </w:r>
    </w:p>
    <w:p w14:paraId="7CB9BF54" w14:textId="621CB226" w:rsidR="0075434A" w:rsidRPr="00B068A2" w:rsidRDefault="00F4132E" w:rsidP="00F4132E">
      <w:pPr>
        <w:pStyle w:val="ListBulletLessSpace"/>
      </w:pPr>
      <w:r>
        <w:t>Workstation 7: Engagement with international human rights m</w:t>
      </w:r>
      <w:r w:rsidR="0075434A" w:rsidRPr="00B068A2">
        <w:t xml:space="preserve">echanisms </w:t>
      </w:r>
    </w:p>
    <w:p w14:paraId="7CEDEF26" w14:textId="08913D2C" w:rsidR="0075434A" w:rsidRPr="00B068A2" w:rsidRDefault="00F4132E" w:rsidP="00F4132E">
      <w:pPr>
        <w:pStyle w:val="ListBulletLessSpace"/>
      </w:pPr>
      <w:r>
        <w:t>Workstation 8: Sustainable development g</w:t>
      </w:r>
      <w:r w:rsidR="0075434A" w:rsidRPr="00B068A2">
        <w:t>oals</w:t>
      </w:r>
    </w:p>
    <w:p w14:paraId="4EFC8BE6" w14:textId="7E464921" w:rsidR="0075434A" w:rsidRPr="00FB54B4" w:rsidRDefault="0075434A" w:rsidP="00FB54B4">
      <w:r w:rsidRPr="00FB54B4">
        <w:t xml:space="preserve">Summary of issues (gaps, and roles of specific actors) identified under </w:t>
      </w:r>
      <w:r w:rsidR="00900F08">
        <w:t>each theme are presented below.</w:t>
      </w:r>
    </w:p>
    <w:p w14:paraId="301A6342" w14:textId="4BA0E7BB" w:rsidR="0075434A" w:rsidRPr="00FB54B4" w:rsidRDefault="00900F08" w:rsidP="00FB54B4">
      <w:pPr>
        <w:pStyle w:val="Heading3"/>
      </w:pPr>
      <w:bookmarkStart w:id="62" w:name="_Toc489441320"/>
      <w:bookmarkStart w:id="63" w:name="_Toc491332772"/>
      <w:r>
        <w:t>Workstation 1: Intersex p</w:t>
      </w:r>
      <w:r w:rsidR="0075434A" w:rsidRPr="00FB54B4">
        <w:t>eople</w:t>
      </w:r>
      <w:r w:rsidR="00FB54B4">
        <w:t>/</w:t>
      </w:r>
      <w:r>
        <w:t>sex c</w:t>
      </w:r>
      <w:r w:rsidR="0075434A" w:rsidRPr="00FB54B4">
        <w:t>haracteristics</w:t>
      </w:r>
      <w:bookmarkEnd w:id="62"/>
      <w:bookmarkEnd w:id="63"/>
    </w:p>
    <w:p w14:paraId="7DFD9329" w14:textId="77777777" w:rsidR="00900F08" w:rsidRDefault="0075434A" w:rsidP="00900F08">
      <w:pPr>
        <w:pStyle w:val="NormalTextBox"/>
        <w:spacing w:after="120"/>
        <w:rPr>
          <w:sz w:val="20"/>
          <w:szCs w:val="20"/>
        </w:rPr>
      </w:pPr>
      <w:r w:rsidRPr="00900F08">
        <w:rPr>
          <w:b/>
          <w:sz w:val="20"/>
          <w:szCs w:val="20"/>
        </w:rPr>
        <w:t>Facilitator</w:t>
      </w:r>
      <w:r w:rsidR="00900F08" w:rsidRPr="00900F08">
        <w:rPr>
          <w:b/>
          <w:sz w:val="20"/>
          <w:szCs w:val="20"/>
        </w:rPr>
        <w:br/>
      </w:r>
      <w:r w:rsidRPr="00900F08">
        <w:rPr>
          <w:sz w:val="20"/>
          <w:szCs w:val="20"/>
        </w:rPr>
        <w:t>Morgan Carpenter, OII</w:t>
      </w:r>
    </w:p>
    <w:p w14:paraId="6C5A697B" w14:textId="42C27F7C" w:rsidR="0075434A" w:rsidRPr="00900F08" w:rsidRDefault="0075434A" w:rsidP="00900F08">
      <w:pPr>
        <w:pStyle w:val="NormalTextBox"/>
        <w:spacing w:before="120"/>
        <w:rPr>
          <w:sz w:val="20"/>
          <w:szCs w:val="20"/>
        </w:rPr>
      </w:pPr>
      <w:r w:rsidRPr="00900F08">
        <w:rPr>
          <w:b/>
          <w:sz w:val="20"/>
          <w:szCs w:val="20"/>
        </w:rPr>
        <w:t>Rapporteur</w:t>
      </w:r>
      <w:r w:rsidR="00900F08" w:rsidRPr="00900F08">
        <w:rPr>
          <w:b/>
          <w:sz w:val="20"/>
          <w:szCs w:val="20"/>
        </w:rPr>
        <w:br/>
      </w:r>
      <w:r w:rsidRPr="00900F08">
        <w:rPr>
          <w:sz w:val="20"/>
          <w:szCs w:val="20"/>
        </w:rPr>
        <w:t>Laura Sweeney, NHRI Australia</w:t>
      </w:r>
    </w:p>
    <w:p w14:paraId="638D729E" w14:textId="180E71B1" w:rsidR="0075434A" w:rsidRPr="00B068A2" w:rsidRDefault="0075434A" w:rsidP="00FB54B4">
      <w:pPr>
        <w:pStyle w:val="Heading4"/>
      </w:pPr>
      <w:r w:rsidRPr="00B068A2">
        <w:rPr>
          <w:lang w:val="en-GB"/>
        </w:rPr>
        <w:t>Question 1: Gaps in the Yogyakart</w:t>
      </w:r>
      <w:r w:rsidR="00900F08">
        <w:rPr>
          <w:lang w:val="en-GB"/>
        </w:rPr>
        <w:t>a Principles in relation to i</w:t>
      </w:r>
      <w:r w:rsidRPr="00B068A2">
        <w:rPr>
          <w:lang w:val="en-GB"/>
        </w:rPr>
        <w:t>ntersex</w:t>
      </w:r>
    </w:p>
    <w:p w14:paraId="4472F6A2" w14:textId="77777777" w:rsidR="0075434A" w:rsidRPr="00FB54B4" w:rsidRDefault="0075434A" w:rsidP="002A472B">
      <w:pPr>
        <w:pStyle w:val="Heading5"/>
      </w:pPr>
      <w:r w:rsidRPr="00FB54B4">
        <w:t xml:space="preserve">Gaps in knowledge and definition </w:t>
      </w:r>
    </w:p>
    <w:p w14:paraId="096C7986" w14:textId="26DAAF82" w:rsidR="0075434A" w:rsidRPr="00B068A2" w:rsidRDefault="0075434A" w:rsidP="00900F08">
      <w:pPr>
        <w:pStyle w:val="ListBulletLessSpace"/>
      </w:pPr>
      <w:r w:rsidRPr="00B068A2">
        <w:t>There are gaps in the recognition</w:t>
      </w:r>
      <w:r>
        <w:t xml:space="preserve"> and definition</w:t>
      </w:r>
      <w:r w:rsidRPr="00B068A2">
        <w:t xml:space="preserve"> of sex characteristics – the conference and the </w:t>
      </w:r>
      <w:r>
        <w:t xml:space="preserve">APF </w:t>
      </w:r>
      <w:r w:rsidRPr="00B068A2">
        <w:t>manual</w:t>
      </w:r>
      <w:r w:rsidRPr="00FB54B4">
        <w:rPr>
          <w:rStyle w:val="FootnoteReference"/>
        </w:rPr>
        <w:footnoteReference w:id="10"/>
      </w:r>
      <w:r w:rsidRPr="00B068A2">
        <w:t xml:space="preserve"> has already implied the existence of these gaps, which are not adequately recogn</w:t>
      </w:r>
      <w:r>
        <w:t>is</w:t>
      </w:r>
      <w:r w:rsidR="00900F08">
        <w:t>ed in the Yogyakarta Principles</w:t>
      </w:r>
    </w:p>
    <w:p w14:paraId="217EC6E6" w14:textId="77777777" w:rsidR="0075434A" w:rsidRPr="00B068A2" w:rsidRDefault="0075434A" w:rsidP="00900F08">
      <w:pPr>
        <w:pStyle w:val="ListBulletLessSpace"/>
      </w:pPr>
      <w:r w:rsidRPr="00B068A2">
        <w:t>The word ‘intersex’ appears only once in the Principles (in the preamble), although some principles may be applied in the case of intersex</w:t>
      </w:r>
    </w:p>
    <w:p w14:paraId="17A12865" w14:textId="77777777" w:rsidR="0075434A" w:rsidRDefault="0075434A" w:rsidP="00900F08">
      <w:pPr>
        <w:pStyle w:val="ListBulletLessSpace"/>
      </w:pPr>
      <w:r w:rsidRPr="00B068A2">
        <w:t xml:space="preserve">The universality of sex characteristics and bodily diversity are distinct from </w:t>
      </w:r>
      <w:r>
        <w:t xml:space="preserve">the specific experiences of people with </w:t>
      </w:r>
      <w:r w:rsidRPr="00B068A2">
        <w:t>intersex</w:t>
      </w:r>
      <w:r>
        <w:t xml:space="preserve"> variations</w:t>
      </w:r>
    </w:p>
    <w:p w14:paraId="1C975F12" w14:textId="77777777" w:rsidR="0075434A" w:rsidRPr="00B068A2" w:rsidRDefault="0075434A" w:rsidP="00900F08">
      <w:pPr>
        <w:pStyle w:val="ListBulletLessSpace"/>
      </w:pPr>
      <w:r w:rsidRPr="00B068A2">
        <w:lastRenderedPageBreak/>
        <w:t>The issue of legal language and approach to categor</w:t>
      </w:r>
      <w:r>
        <w:t>is</w:t>
      </w:r>
      <w:r w:rsidRPr="00B068A2">
        <w:t>ing, conflation and confusion of gender identity and sex characteristics – in which proof is often based on ‘biological characteristics’</w:t>
      </w:r>
    </w:p>
    <w:p w14:paraId="7626E7BD" w14:textId="77777777" w:rsidR="0075434A" w:rsidRPr="00B068A2" w:rsidRDefault="0075434A" w:rsidP="00900F08">
      <w:pPr>
        <w:pStyle w:val="ListBulletLessSpace"/>
      </w:pPr>
      <w:r w:rsidRPr="00B068A2">
        <w:t xml:space="preserve">By not talking about the sex characteristics as part of the broader </w:t>
      </w:r>
      <w:r>
        <w:t>SOGIESC</w:t>
      </w:r>
      <w:r w:rsidRPr="00B068A2">
        <w:t xml:space="preserve"> conversation, there is insignificant focus on variation</w:t>
      </w:r>
      <w:r>
        <w:t>s</w:t>
      </w:r>
      <w:r w:rsidRPr="00B068A2">
        <w:t xml:space="preserve"> in sex characteristics (note the Yogyakarta Principles commentaries on medical intervention – P18)</w:t>
      </w:r>
    </w:p>
    <w:p w14:paraId="4D953253" w14:textId="77777777" w:rsidR="0075434A" w:rsidRPr="00B068A2" w:rsidRDefault="0075434A" w:rsidP="00900F08">
      <w:pPr>
        <w:pStyle w:val="ListBulletLessSpace"/>
      </w:pPr>
      <w:r w:rsidRPr="00B068A2">
        <w:t>There is no clarity on how ‘age of consent’ or maturity is defined</w:t>
      </w:r>
      <w:r>
        <w:t>,</w:t>
      </w:r>
      <w:r w:rsidRPr="00B068A2">
        <w:t xml:space="preserve"> especially in the context of intersex </w:t>
      </w:r>
      <w:r>
        <w:t>people</w:t>
      </w:r>
    </w:p>
    <w:p w14:paraId="6FB86CF2" w14:textId="77777777" w:rsidR="0075434A" w:rsidRDefault="0075434A" w:rsidP="00900F08">
      <w:pPr>
        <w:pStyle w:val="ListBulletLessSpace"/>
      </w:pPr>
      <w:r w:rsidRPr="00B068A2">
        <w:t>Clarity is needed on the issue of non-consensual medical interventions, especially involving children with intersex variations. Such interventions constitute human rights violations at the time of the procedure, but also continues as a violation throughout life</w:t>
      </w:r>
    </w:p>
    <w:p w14:paraId="1138751B" w14:textId="77777777" w:rsidR="0075434A" w:rsidRPr="00ED166D" w:rsidRDefault="0075434A" w:rsidP="00900F08">
      <w:pPr>
        <w:pStyle w:val="ListBulletLessSpace"/>
      </w:pPr>
      <w:r>
        <w:t xml:space="preserve">There is a </w:t>
      </w:r>
      <w:r w:rsidRPr="00B068A2">
        <w:t xml:space="preserve">disconnect between </w:t>
      </w:r>
      <w:r>
        <w:t>the SOGIE</w:t>
      </w:r>
      <w:r w:rsidRPr="00B068A2">
        <w:t xml:space="preserve"> framework and sex characteristics</w:t>
      </w:r>
      <w:r>
        <w:t>. SOGIE</w:t>
      </w:r>
      <w:r w:rsidRPr="00B068A2">
        <w:t>’s focus is not on bodies</w:t>
      </w:r>
      <w:r>
        <w:t>, w</w:t>
      </w:r>
      <w:r w:rsidRPr="00ED166D">
        <w:t xml:space="preserve">hile </w:t>
      </w:r>
      <w:r>
        <w:t xml:space="preserve">the </w:t>
      </w:r>
      <w:r w:rsidRPr="00ED166D">
        <w:t>intersex movement focuses on the body</w:t>
      </w:r>
      <w:r>
        <w:t>. T</w:t>
      </w:r>
      <w:r w:rsidRPr="00ED166D">
        <w:t xml:space="preserve"> need</w:t>
      </w:r>
      <w:r>
        <w:t>s</w:t>
      </w:r>
      <w:r w:rsidRPr="00ED166D">
        <w:t xml:space="preserve"> to be further recognition o</w:t>
      </w:r>
      <w:r>
        <w:t>f</w:t>
      </w:r>
      <w:r w:rsidRPr="00ED166D">
        <w:t xml:space="preserve"> the parallel dimensions with the disability movement </w:t>
      </w:r>
    </w:p>
    <w:p w14:paraId="3DF14395" w14:textId="4807E936" w:rsidR="0075434A" w:rsidRDefault="0075434A" w:rsidP="00900F08">
      <w:pPr>
        <w:pStyle w:val="ListBulletLessSpace"/>
      </w:pPr>
      <w:r w:rsidRPr="00B068A2">
        <w:t>There are concerns abou</w:t>
      </w:r>
      <w:r w:rsidR="00900F08">
        <w:t>t the use of medical ‘evidence’</w:t>
      </w:r>
    </w:p>
    <w:p w14:paraId="6BBA7C80" w14:textId="728A8E10" w:rsidR="0075434A" w:rsidRPr="00B068A2" w:rsidRDefault="0075434A" w:rsidP="00900F08">
      <w:pPr>
        <w:pStyle w:val="ListBulletLessSpace"/>
      </w:pPr>
      <w:r w:rsidRPr="00B068A2">
        <w:t>Clarity is needed to identify the impact of third categories on birth certificates – including both positive and negative consequences</w:t>
      </w:r>
      <w:r>
        <w:t>, especially for intersex people</w:t>
      </w:r>
      <w:r w:rsidR="00900F08">
        <w:t>.</w:t>
      </w:r>
    </w:p>
    <w:p w14:paraId="6C471E61" w14:textId="77777777" w:rsidR="0075434A" w:rsidRDefault="0075434A" w:rsidP="002A472B">
      <w:pPr>
        <w:pStyle w:val="Heading5"/>
      </w:pPr>
      <w:r>
        <w:t>R</w:t>
      </w:r>
      <w:r w:rsidRPr="00B068A2">
        <w:t>elationship between gender identity and intersex</w:t>
      </w:r>
    </w:p>
    <w:p w14:paraId="7F654E05" w14:textId="77777777" w:rsidR="0075434A" w:rsidRDefault="0075434A" w:rsidP="00900F08">
      <w:pPr>
        <w:pStyle w:val="ListBulletLessSpace"/>
      </w:pPr>
      <w:r w:rsidRPr="00B068A2">
        <w:t>There is confusion about the relationship between gender identity and intersex</w:t>
      </w:r>
      <w:r>
        <w:t xml:space="preserve"> and the </w:t>
      </w:r>
      <w:r w:rsidRPr="00ED166D">
        <w:t xml:space="preserve">Principles don’t offer clarity to the ‘movement’ in relation to intersex </w:t>
      </w:r>
    </w:p>
    <w:p w14:paraId="6C6F0D79" w14:textId="4878E6A9" w:rsidR="0075434A" w:rsidRPr="00B068A2" w:rsidRDefault="0075434A" w:rsidP="00900F08">
      <w:pPr>
        <w:pStyle w:val="ListBulletLessSpace"/>
      </w:pPr>
      <w:r w:rsidRPr="00B068A2">
        <w:t>Confusions in the use of SOGIE or SOGIESC</w:t>
      </w:r>
      <w:r>
        <w:t xml:space="preserve"> (Sexual Orientation, Gender Identity, Gender Expression and Sex Characteristics)</w:t>
      </w:r>
      <w:r w:rsidRPr="00B068A2">
        <w:t xml:space="preserve"> – there is a need to embrace SOGIESC</w:t>
      </w:r>
      <w:r w:rsidR="00900F08">
        <w:t>.</w:t>
      </w:r>
    </w:p>
    <w:p w14:paraId="7B64DE4E" w14:textId="77777777" w:rsidR="0075434A" w:rsidRDefault="0075434A" w:rsidP="002A472B">
      <w:pPr>
        <w:pStyle w:val="Heading5"/>
      </w:pPr>
      <w:r>
        <w:t xml:space="preserve">Advocacy </w:t>
      </w:r>
    </w:p>
    <w:p w14:paraId="67B14035" w14:textId="77777777" w:rsidR="0075434A" w:rsidRPr="00B068A2" w:rsidRDefault="0075434A" w:rsidP="00900F08">
      <w:pPr>
        <w:pStyle w:val="ListBulletLessSpace"/>
      </w:pPr>
      <w:r w:rsidRPr="00B068A2">
        <w:t xml:space="preserve">The issues related to female genital mutilation (FGM) and approaches taken by human rights advocates provide some important lessons for intersex advocacy – note that some </w:t>
      </w:r>
      <w:r>
        <w:t xml:space="preserve">States’ laws against FGM have </w:t>
      </w:r>
      <w:r w:rsidRPr="00B068A2">
        <w:t>express exemptions regarding intersex interventions</w:t>
      </w:r>
    </w:p>
    <w:p w14:paraId="15F9246C" w14:textId="77777777" w:rsidR="0075434A" w:rsidRPr="00B068A2" w:rsidRDefault="0075434A" w:rsidP="00900F08">
      <w:pPr>
        <w:pStyle w:val="ListBulletLessSpace"/>
      </w:pPr>
      <w:r w:rsidRPr="00B068A2">
        <w:t>Lack of education in the community about definitions and differences between gender identity and intersex variation – there is the need to educate everyone at all levels</w:t>
      </w:r>
    </w:p>
    <w:p w14:paraId="11F6FDAE" w14:textId="6135BC22" w:rsidR="0075434A" w:rsidRPr="00B068A2" w:rsidRDefault="0075434A" w:rsidP="00900F08">
      <w:pPr>
        <w:pStyle w:val="ListBulletLessSpace"/>
      </w:pPr>
      <w:r w:rsidRPr="00B068A2">
        <w:t xml:space="preserve">There </w:t>
      </w:r>
      <w:r>
        <w:t>was</w:t>
      </w:r>
      <w:r w:rsidRPr="00B068A2">
        <w:t xml:space="preserve"> a lack of adequate consultation with regard to intersex awareness when ‘I’ (intersex) was inserted into the LGBT schema</w:t>
      </w:r>
      <w:r w:rsidR="00900F08">
        <w:t>.</w:t>
      </w:r>
    </w:p>
    <w:p w14:paraId="4B6EC9C3" w14:textId="77777777" w:rsidR="0075434A" w:rsidRDefault="0075434A" w:rsidP="002A472B">
      <w:pPr>
        <w:pStyle w:val="Heading5"/>
      </w:pPr>
      <w:r>
        <w:t>Intersex and children (ref CRC)</w:t>
      </w:r>
    </w:p>
    <w:p w14:paraId="743F179A" w14:textId="77777777" w:rsidR="0075434A" w:rsidRPr="00B068A2" w:rsidRDefault="0075434A" w:rsidP="00900F08">
      <w:pPr>
        <w:pStyle w:val="ListBulletLessSpace"/>
      </w:pPr>
      <w:r w:rsidRPr="00B068A2">
        <w:t>There are gaps in conceptions of age and maturity – there are concerns about forms and assumptions about medical interventions, which are regarded as more of a gap regarding bodily autonomy</w:t>
      </w:r>
    </w:p>
    <w:p w14:paraId="33796003" w14:textId="77777777" w:rsidR="0075434A" w:rsidRPr="00B068A2" w:rsidRDefault="0075434A" w:rsidP="00900F08">
      <w:pPr>
        <w:pStyle w:val="ListBulletLessSpace"/>
      </w:pPr>
      <w:r w:rsidRPr="00B068A2">
        <w:t xml:space="preserve">The current definition of age </w:t>
      </w:r>
      <w:r>
        <w:t>of</w:t>
      </w:r>
      <w:r w:rsidRPr="00B068A2">
        <w:t xml:space="preserve"> maturity (</w:t>
      </w:r>
      <w:r>
        <w:t xml:space="preserve">Principle </w:t>
      </w:r>
      <w:r w:rsidRPr="00B068A2">
        <w:t xml:space="preserve">18) </w:t>
      </w:r>
      <w:r>
        <w:t>is</w:t>
      </w:r>
      <w:r w:rsidRPr="00B068A2">
        <w:t xml:space="preserve"> drafted to be in complian</w:t>
      </w:r>
      <w:r>
        <w:t xml:space="preserve">ce </w:t>
      </w:r>
      <w:r w:rsidRPr="00B068A2">
        <w:t xml:space="preserve">with the definitions of </w:t>
      </w:r>
      <w:r>
        <w:t xml:space="preserve">the </w:t>
      </w:r>
      <w:r w:rsidRPr="00B068A2">
        <w:t>C</w:t>
      </w:r>
      <w:r>
        <w:t xml:space="preserve">onvention on the </w:t>
      </w:r>
      <w:r w:rsidRPr="00B068A2">
        <w:t>R</w:t>
      </w:r>
      <w:r>
        <w:t xml:space="preserve">ights of the </w:t>
      </w:r>
      <w:r w:rsidRPr="00B068A2">
        <w:t>C</w:t>
      </w:r>
      <w:r>
        <w:t>hild (CRC) is contentious</w:t>
      </w:r>
    </w:p>
    <w:p w14:paraId="526530AD" w14:textId="77777777" w:rsidR="0075434A" w:rsidRPr="00B068A2" w:rsidRDefault="0075434A" w:rsidP="00900F08">
      <w:pPr>
        <w:pStyle w:val="ListBulletLessSpace"/>
      </w:pPr>
      <w:r w:rsidRPr="00B068A2">
        <w:t xml:space="preserve">There is also the absence of the language of ‘unnecessary’ in the context of medical procedures </w:t>
      </w:r>
    </w:p>
    <w:p w14:paraId="0F0931AB" w14:textId="77777777" w:rsidR="0075434A" w:rsidRPr="00B068A2" w:rsidRDefault="0075434A" w:rsidP="00900F08">
      <w:pPr>
        <w:pStyle w:val="ListBulletLessSpace"/>
      </w:pPr>
      <w:r w:rsidRPr="00B068A2">
        <w:t xml:space="preserve">There are strong concerns from intersex people regarding </w:t>
      </w:r>
      <w:r>
        <w:t>Principle</w:t>
      </w:r>
      <w:r w:rsidRPr="00B068A2">
        <w:t>18 especially in relation to contentions with</w:t>
      </w:r>
      <w:r>
        <w:t xml:space="preserve"> the</w:t>
      </w:r>
      <w:r w:rsidRPr="00B068A2">
        <w:t xml:space="preserve"> CRC – there is a need to uncouple the </w:t>
      </w:r>
      <w:r>
        <w:t>Principles’</w:t>
      </w:r>
      <w:r w:rsidRPr="00B068A2">
        <w:t xml:space="preserve"> definitions from those of</w:t>
      </w:r>
      <w:r>
        <w:t xml:space="preserve"> the</w:t>
      </w:r>
      <w:r w:rsidRPr="00B068A2">
        <w:t xml:space="preserve"> CRC</w:t>
      </w:r>
    </w:p>
    <w:p w14:paraId="6EC33846" w14:textId="77777777" w:rsidR="0075434A" w:rsidRPr="00B068A2" w:rsidRDefault="0075434A" w:rsidP="00900F08">
      <w:pPr>
        <w:pStyle w:val="ListBulletLessSpace"/>
      </w:pPr>
      <w:r w:rsidRPr="00B068A2">
        <w:lastRenderedPageBreak/>
        <w:t>The</w:t>
      </w:r>
      <w:r>
        <w:t>re is a</w:t>
      </w:r>
      <w:r w:rsidRPr="00B068A2">
        <w:t xml:space="preserve"> desire to talk about the ‘best interest of the child’ – in the context of age and maturity and the preferences for alternative, developmental states and emphasis on autonomy – alternatively, instead of removing ‘best interest’, it could be useful to be more explicit about what these interests are</w:t>
      </w:r>
    </w:p>
    <w:p w14:paraId="5252B663" w14:textId="77777777" w:rsidR="0075434A" w:rsidRDefault="0075434A" w:rsidP="00900F08">
      <w:pPr>
        <w:pStyle w:val="ListBulletLessSpace"/>
      </w:pPr>
      <w:r w:rsidRPr="00B068A2">
        <w:t>It is time to use other normative language – e.g. ‘harmful practices’ instead of torture framings</w:t>
      </w:r>
    </w:p>
    <w:p w14:paraId="4A2BCF9A" w14:textId="54CE2598" w:rsidR="0075434A" w:rsidRPr="00B068A2" w:rsidRDefault="0075434A" w:rsidP="00900F08">
      <w:pPr>
        <w:pStyle w:val="ListBulletLessSpace"/>
      </w:pPr>
      <w:r w:rsidRPr="00B068A2">
        <w:t xml:space="preserve">Some caveats </w:t>
      </w:r>
      <w:r>
        <w:t>around the current wording of</w:t>
      </w:r>
      <w:r w:rsidR="00F3764F">
        <w:t xml:space="preserve"> </w:t>
      </w:r>
      <w:r w:rsidRPr="00B068A2">
        <w:t>P</w:t>
      </w:r>
      <w:r>
        <w:t xml:space="preserve">rinciple </w:t>
      </w:r>
      <w:r w:rsidRPr="00B068A2">
        <w:t xml:space="preserve">18 – </w:t>
      </w:r>
      <w:r>
        <w:t xml:space="preserve">the need for a </w:t>
      </w:r>
      <w:r w:rsidRPr="00B068A2">
        <w:t xml:space="preserve">child rights perspective </w:t>
      </w:r>
      <w:r>
        <w:t xml:space="preserve">including around the </w:t>
      </w:r>
      <w:r w:rsidRPr="00B068A2">
        <w:t xml:space="preserve">evolving ‘capacity’ of the child </w:t>
      </w:r>
    </w:p>
    <w:p w14:paraId="0DC82668" w14:textId="77777777" w:rsidR="0075434A" w:rsidRPr="00B068A2" w:rsidRDefault="0075434A" w:rsidP="00900F08">
      <w:pPr>
        <w:pStyle w:val="ListBulletLessSpace"/>
      </w:pPr>
      <w:r w:rsidRPr="00B068A2">
        <w:t>Potential problems when the child is not old enough</w:t>
      </w:r>
      <w:r>
        <w:t xml:space="preserve"> and decisions about the </w:t>
      </w:r>
      <w:r w:rsidRPr="00B068A2">
        <w:t xml:space="preserve">best interest of the child </w:t>
      </w:r>
      <w:r>
        <w:t xml:space="preserve">are </w:t>
      </w:r>
      <w:r w:rsidRPr="00B068A2">
        <w:t>determin</w:t>
      </w:r>
      <w:r>
        <w:t>ed</w:t>
      </w:r>
      <w:r w:rsidRPr="00B068A2">
        <w:t xml:space="preserve"> is made by others</w:t>
      </w:r>
      <w:r>
        <w:t xml:space="preserve"> e.g. </w:t>
      </w:r>
      <w:r w:rsidRPr="00B068A2">
        <w:t>– courts/doctors/child advocates</w:t>
      </w:r>
    </w:p>
    <w:p w14:paraId="527626FE" w14:textId="5D50D1AB" w:rsidR="0075434A" w:rsidRPr="00B068A2" w:rsidRDefault="0075434A" w:rsidP="00900F08">
      <w:pPr>
        <w:pStyle w:val="ListBulletLessSpace"/>
      </w:pPr>
      <w:r w:rsidRPr="00B068A2">
        <w:t>Best interest of the child is often determined and assessed by culturally-rooted assumptions which include ideas about bodies and notions about norma</w:t>
      </w:r>
      <w:r w:rsidR="00900F08">
        <w:t>lity.</w:t>
      </w:r>
    </w:p>
    <w:p w14:paraId="19C2B57E" w14:textId="77777777" w:rsidR="0075434A" w:rsidRPr="00B068A2" w:rsidRDefault="0075434A" w:rsidP="002A472B">
      <w:pPr>
        <w:pStyle w:val="Heading5"/>
      </w:pPr>
      <w:r>
        <w:t xml:space="preserve">Consent </w:t>
      </w:r>
    </w:p>
    <w:p w14:paraId="5DB966BB" w14:textId="77777777" w:rsidR="0075434A" w:rsidRPr="00B068A2" w:rsidRDefault="0075434A" w:rsidP="00EE4D6E">
      <w:pPr>
        <w:pStyle w:val="ListBulletLessSpace"/>
      </w:pPr>
      <w:r w:rsidRPr="00B068A2">
        <w:t>Using the disability lens, there are concerns regarding the concept of consent – what does consent imply?</w:t>
      </w:r>
    </w:p>
    <w:p w14:paraId="2CA70A79" w14:textId="77777777" w:rsidR="0075434A" w:rsidRPr="00B068A2" w:rsidRDefault="0075434A" w:rsidP="00EE4D6E">
      <w:pPr>
        <w:pStyle w:val="ListBulletLessSpace"/>
      </w:pPr>
      <w:r w:rsidRPr="00B068A2">
        <w:t xml:space="preserve">There is inadequate clarity on the concept of access to medical interventions when </w:t>
      </w:r>
      <w:proofErr w:type="gramStart"/>
      <w:r w:rsidRPr="00B068A2">
        <w:t>a person consents</w:t>
      </w:r>
      <w:proofErr w:type="gramEnd"/>
      <w:r w:rsidRPr="00B068A2">
        <w:t xml:space="preserve"> and desires it – which may not be clear cut in many cases</w:t>
      </w:r>
    </w:p>
    <w:p w14:paraId="1F498512" w14:textId="77777777" w:rsidR="0075434A" w:rsidRPr="00B068A2" w:rsidRDefault="0075434A" w:rsidP="00EE4D6E">
      <w:pPr>
        <w:pStyle w:val="ListBulletLessSpace"/>
      </w:pPr>
      <w:r w:rsidRPr="00B068A2">
        <w:t>Supplementary principles could be expanded to include harm caused and</w:t>
      </w:r>
      <w:r>
        <w:t>,</w:t>
      </w:r>
      <w:r w:rsidRPr="00B068A2">
        <w:t xml:space="preserve"> in particular</w:t>
      </w:r>
      <w:r>
        <w:t>,</w:t>
      </w:r>
      <w:r w:rsidRPr="00B068A2">
        <w:t xml:space="preserve"> draw attention to the distinction between consent and informed consent</w:t>
      </w:r>
    </w:p>
    <w:p w14:paraId="6282D775" w14:textId="4450F9A3" w:rsidR="0075434A" w:rsidRPr="00B068A2" w:rsidRDefault="0075434A" w:rsidP="00EE4D6E">
      <w:pPr>
        <w:pStyle w:val="ListBulletLessSpace"/>
      </w:pPr>
      <w:r w:rsidRPr="00B068A2">
        <w:t>Education and information should be expanded through the engagement of the community, interested population</w:t>
      </w:r>
      <w:r>
        <w:t>s</w:t>
      </w:r>
      <w:r w:rsidRPr="00B068A2">
        <w:t>, medical community and other state agencies</w:t>
      </w:r>
      <w:r w:rsidR="00EE4D6E">
        <w:t>.</w:t>
      </w:r>
    </w:p>
    <w:p w14:paraId="50908E20" w14:textId="77777777" w:rsidR="0075434A" w:rsidRDefault="0075434A" w:rsidP="002A472B">
      <w:pPr>
        <w:pStyle w:val="Heading5"/>
      </w:pPr>
      <w:r>
        <w:t>Gender identity</w:t>
      </w:r>
    </w:p>
    <w:p w14:paraId="54A94DAC" w14:textId="77777777" w:rsidR="0075434A" w:rsidRPr="00B068A2" w:rsidRDefault="0075434A" w:rsidP="00EE4D6E">
      <w:pPr>
        <w:pStyle w:val="ListBulletLessSpace"/>
      </w:pPr>
      <w:r w:rsidRPr="00B068A2">
        <w:t>Principle 18 assumes gender identity as a rationale for intervention and assignment of gender identity – but there are no other reasons for intervention</w:t>
      </w:r>
      <w:r>
        <w:t>,</w:t>
      </w:r>
      <w:r w:rsidRPr="00B068A2">
        <w:t xml:space="preserve"> which is problematic </w:t>
      </w:r>
    </w:p>
    <w:p w14:paraId="7E159679" w14:textId="315B8478" w:rsidR="0075434A" w:rsidRDefault="0075434A" w:rsidP="00EE4D6E">
      <w:pPr>
        <w:pStyle w:val="ListBulletLessSpace"/>
      </w:pPr>
      <w:r w:rsidRPr="00B068A2">
        <w:t>This link established by the Principles between gender identity and med</w:t>
      </w:r>
      <w:r w:rsidR="00EE4D6E">
        <w:t>ical intervention is too narrow.</w:t>
      </w:r>
    </w:p>
    <w:p w14:paraId="1D3A9BBE" w14:textId="77777777" w:rsidR="0075434A" w:rsidRPr="00B068A2" w:rsidRDefault="0075434A" w:rsidP="002A472B">
      <w:pPr>
        <w:pStyle w:val="Heading5"/>
      </w:pPr>
      <w:r>
        <w:t xml:space="preserve">Access to information </w:t>
      </w:r>
    </w:p>
    <w:p w14:paraId="6C757E32" w14:textId="77777777" w:rsidR="0075434A" w:rsidRPr="00B068A2" w:rsidRDefault="0075434A" w:rsidP="00EE4D6E">
      <w:pPr>
        <w:pStyle w:val="ListBulletLessSpace"/>
      </w:pPr>
      <w:r w:rsidRPr="00B068A2">
        <w:t xml:space="preserve">There is inadequate access to information and there is a dearth of research, data and records regarding prevalence, experiences and outcomes – this issue needs to be given consideration in the programmatic action </w:t>
      </w:r>
    </w:p>
    <w:p w14:paraId="72772A83" w14:textId="1EF5B175" w:rsidR="0075434A" w:rsidRPr="00B068A2" w:rsidRDefault="0075434A" w:rsidP="00EE4D6E">
      <w:pPr>
        <w:pStyle w:val="ListBulletLessSpace"/>
      </w:pPr>
      <w:r w:rsidRPr="00B068A2">
        <w:t>More focus should be given to how we collect information, testimony, academic articles published by doctors</w:t>
      </w:r>
      <w:r w:rsidR="00EE4D6E">
        <w:t>.</w:t>
      </w:r>
    </w:p>
    <w:p w14:paraId="60A6E896" w14:textId="77777777" w:rsidR="0075434A" w:rsidRDefault="0075434A" w:rsidP="002A472B">
      <w:pPr>
        <w:pStyle w:val="Heading5"/>
      </w:pPr>
      <w:r>
        <w:t xml:space="preserve">Self determination </w:t>
      </w:r>
    </w:p>
    <w:p w14:paraId="7E35AC36" w14:textId="77777777" w:rsidR="0075434A" w:rsidRPr="00B068A2" w:rsidRDefault="0075434A" w:rsidP="00EE4D6E">
      <w:pPr>
        <w:pStyle w:val="ListBulletLessSpace"/>
      </w:pPr>
      <w:r w:rsidRPr="00B068A2">
        <w:t xml:space="preserve">There is the need to create a system of self-determination </w:t>
      </w:r>
    </w:p>
    <w:p w14:paraId="6C1C9F22" w14:textId="77777777" w:rsidR="0075434A" w:rsidRPr="00B068A2" w:rsidRDefault="0075434A" w:rsidP="00EE4D6E">
      <w:pPr>
        <w:pStyle w:val="ListBulletLessSpace"/>
      </w:pPr>
      <w:r w:rsidRPr="00B068A2">
        <w:t>Definitions in relation to bodily diversity, intersex and sex characteristics are not clear</w:t>
      </w:r>
    </w:p>
    <w:p w14:paraId="2111BD96" w14:textId="77777777" w:rsidR="0075434A" w:rsidRPr="00B068A2" w:rsidRDefault="0075434A" w:rsidP="00EE4D6E">
      <w:pPr>
        <w:pStyle w:val="ListBulletLessSpace"/>
      </w:pPr>
      <w:r w:rsidRPr="00B068A2">
        <w:t>There are also related concerns about the rights of those who alter their legal records of gender</w:t>
      </w:r>
    </w:p>
    <w:p w14:paraId="40A2DC10" w14:textId="77777777" w:rsidR="0075434A" w:rsidRDefault="0075434A" w:rsidP="00EE4D6E">
      <w:pPr>
        <w:pStyle w:val="ListBulletLessSpace"/>
      </w:pPr>
      <w:r w:rsidRPr="00B068A2">
        <w:t>Need to address through the lens and aspects of health and bodily autonomy plus diversity – which still remain underutili</w:t>
      </w:r>
      <w:r>
        <w:t>s</w:t>
      </w:r>
      <w:r w:rsidRPr="00B068A2">
        <w:t xml:space="preserve">ed entry points </w:t>
      </w:r>
    </w:p>
    <w:p w14:paraId="42E130F9" w14:textId="37534B04" w:rsidR="0075434A" w:rsidRPr="00B068A2" w:rsidRDefault="0075434A" w:rsidP="00EE4D6E">
      <w:pPr>
        <w:pStyle w:val="ListBulletLessSpace"/>
      </w:pPr>
      <w:r w:rsidRPr="00B068A2">
        <w:t>Although there is some resistance to issues related to bodily autonomy, it is important to refer to ‘self-determ</w:t>
      </w:r>
      <w:r w:rsidR="00EE4D6E">
        <w:t>ination’ of the intersex people.</w:t>
      </w:r>
    </w:p>
    <w:p w14:paraId="54208E28" w14:textId="77777777" w:rsidR="0075434A" w:rsidRPr="00B068A2" w:rsidRDefault="0075434A" w:rsidP="002A472B">
      <w:pPr>
        <w:pStyle w:val="Heading5"/>
      </w:pPr>
      <w:r>
        <w:lastRenderedPageBreak/>
        <w:t xml:space="preserve">Legal recognition </w:t>
      </w:r>
    </w:p>
    <w:p w14:paraId="7FFA7C3A" w14:textId="77777777" w:rsidR="0075434A" w:rsidRPr="00B068A2" w:rsidRDefault="0075434A" w:rsidP="00EE4D6E">
      <w:pPr>
        <w:pStyle w:val="ListBulletLessSpace"/>
      </w:pPr>
      <w:r w:rsidRPr="00B068A2">
        <w:t xml:space="preserve">Gaps in recognition before the law for intersex persons </w:t>
      </w:r>
    </w:p>
    <w:p w14:paraId="477CCC42" w14:textId="77777777" w:rsidR="0075434A" w:rsidRPr="00B068A2" w:rsidRDefault="0075434A" w:rsidP="00EE4D6E">
      <w:pPr>
        <w:pStyle w:val="ListBulletLessSpace"/>
      </w:pPr>
      <w:r w:rsidRPr="00B068A2">
        <w:t>Assignment of sex is effectively a prerequisite for being a person before the law as well as all the rights that flow from being a person (e</w:t>
      </w:r>
      <w:r>
        <w:t>.</w:t>
      </w:r>
      <w:r w:rsidRPr="00B068A2">
        <w:t>g. Right to recognition before the law)</w:t>
      </w:r>
    </w:p>
    <w:p w14:paraId="19B4DE50" w14:textId="1171A1E3" w:rsidR="0075434A" w:rsidRPr="00B068A2" w:rsidRDefault="0075434A" w:rsidP="00EE4D6E">
      <w:pPr>
        <w:pStyle w:val="ListBulletLessSpace"/>
      </w:pPr>
      <w:r w:rsidRPr="00B068A2">
        <w:t>Legal frameworks often confuse sex and gender</w:t>
      </w:r>
      <w:r w:rsidR="00EE4D6E">
        <w:t>.</w:t>
      </w:r>
    </w:p>
    <w:p w14:paraId="0EC4C5E2" w14:textId="6893E022" w:rsidR="0075434A" w:rsidRPr="00B068A2" w:rsidRDefault="00FB54B4" w:rsidP="00FB54B4">
      <w:pPr>
        <w:pStyle w:val="Heading4"/>
        <w:rPr>
          <w:lang w:val="en-GB"/>
        </w:rPr>
      </w:pPr>
      <w:r>
        <w:rPr>
          <w:lang w:val="en-GB"/>
        </w:rPr>
        <w:t>Question 2: R</w:t>
      </w:r>
      <w:r w:rsidR="0075434A" w:rsidRPr="00B068A2">
        <w:rPr>
          <w:lang w:val="en-GB"/>
        </w:rPr>
        <w:t>oles of specific actors</w:t>
      </w:r>
    </w:p>
    <w:p w14:paraId="2DE826ED" w14:textId="0E9597DF" w:rsidR="0075434A" w:rsidRPr="00B068A2" w:rsidRDefault="00EE4D6E" w:rsidP="002A472B">
      <w:pPr>
        <w:pStyle w:val="Heading5"/>
      </w:pPr>
      <w:r>
        <w:t>States/advocates/NGOs</w:t>
      </w:r>
    </w:p>
    <w:p w14:paraId="3E2A11F0" w14:textId="77777777" w:rsidR="0075434A" w:rsidRPr="00B068A2" w:rsidRDefault="0075434A" w:rsidP="00EE4D6E">
      <w:pPr>
        <w:pStyle w:val="ListBulletLessSpace"/>
      </w:pPr>
      <w:r w:rsidRPr="00B068A2">
        <w:t xml:space="preserve">‘Harmful practices’ could be a useful entry point. Some treaty bodies have issued General Comments on harmful practices. When states/advocates/NGOs engage in these issues, they could work on </w:t>
      </w:r>
      <w:proofErr w:type="spellStart"/>
      <w:r w:rsidRPr="00B068A2">
        <w:t>strateg</w:t>
      </w:r>
      <w:r>
        <w:t>is</w:t>
      </w:r>
      <w:r w:rsidRPr="00B068A2">
        <w:t>ing</w:t>
      </w:r>
      <w:proofErr w:type="spellEnd"/>
      <w:r w:rsidRPr="00B068A2">
        <w:t xml:space="preserve"> and applying these rules in relation to sex characteristics. CRC advocates could be invited to further discuss this relationship. </w:t>
      </w:r>
    </w:p>
    <w:p w14:paraId="6EFEF4BC" w14:textId="682ACD1E" w:rsidR="0075434A" w:rsidRPr="00B068A2" w:rsidRDefault="00EE4D6E" w:rsidP="002A472B">
      <w:pPr>
        <w:pStyle w:val="Heading5"/>
      </w:pPr>
      <w:r>
        <w:t>State agencies</w:t>
      </w:r>
    </w:p>
    <w:p w14:paraId="45FFB440" w14:textId="71E67A5B" w:rsidR="0075434A" w:rsidRPr="00962312" w:rsidRDefault="0075434A" w:rsidP="00EE4D6E">
      <w:pPr>
        <w:pStyle w:val="ListBulletLessSpace"/>
      </w:pPr>
      <w:r>
        <w:t>Need to address state p</w:t>
      </w:r>
      <w:r w:rsidRPr="00B068A2">
        <w:t>ractices of enforcing a particular gender identity assignment when a child is born with intersex variation or when the birth certificate is issued</w:t>
      </w:r>
      <w:r w:rsidR="00EE4D6E">
        <w:t>.</w:t>
      </w:r>
    </w:p>
    <w:p w14:paraId="7DB2E113" w14:textId="55759273" w:rsidR="0075434A" w:rsidRPr="00B068A2" w:rsidRDefault="00EE4D6E" w:rsidP="002A472B">
      <w:pPr>
        <w:pStyle w:val="Heading5"/>
      </w:pPr>
      <w:r>
        <w:t>CSOs/advocates</w:t>
      </w:r>
    </w:p>
    <w:p w14:paraId="52719056" w14:textId="1A8038CB" w:rsidR="0075434A" w:rsidRPr="00B068A2" w:rsidRDefault="0075434A" w:rsidP="00EE4D6E">
      <w:pPr>
        <w:pStyle w:val="ListBulletLessSpace"/>
      </w:pPr>
      <w:r w:rsidRPr="00B068A2">
        <w:t>Raise issues of intersex people who need medical interventions (e</w:t>
      </w:r>
      <w:r>
        <w:t>.</w:t>
      </w:r>
      <w:r w:rsidRPr="00B068A2">
        <w:t>g. Genital correction surgery) – these issues cannot be fully addressed by simply ceasing surgery</w:t>
      </w:r>
      <w:r w:rsidR="00EE4D6E">
        <w:t>.</w:t>
      </w:r>
    </w:p>
    <w:p w14:paraId="0A83F64D" w14:textId="3C58B293" w:rsidR="0075434A" w:rsidRDefault="00EE4D6E" w:rsidP="00FB54B4">
      <w:pPr>
        <w:pStyle w:val="Heading3"/>
      </w:pPr>
      <w:bookmarkStart w:id="64" w:name="_Toc489441321"/>
      <w:bookmarkStart w:id="65" w:name="_Toc491332773"/>
      <w:r>
        <w:t>Workstation 2: Gender i</w:t>
      </w:r>
      <w:r w:rsidR="0075434A" w:rsidRPr="00B068A2">
        <w:t>dentity</w:t>
      </w:r>
      <w:r>
        <w:t xml:space="preserve"> and gender e</w:t>
      </w:r>
      <w:r w:rsidR="0075434A">
        <w:t>xpression</w:t>
      </w:r>
      <w:bookmarkEnd w:id="64"/>
      <w:bookmarkEnd w:id="65"/>
    </w:p>
    <w:p w14:paraId="7044C15B" w14:textId="77777777" w:rsidR="00EE4D6E" w:rsidRDefault="0075434A" w:rsidP="00EE4D6E">
      <w:pPr>
        <w:pStyle w:val="NormalTextBox"/>
        <w:spacing w:after="120"/>
        <w:rPr>
          <w:sz w:val="20"/>
          <w:szCs w:val="20"/>
        </w:rPr>
      </w:pPr>
      <w:r w:rsidRPr="00EE4D6E">
        <w:rPr>
          <w:b/>
          <w:sz w:val="20"/>
          <w:szCs w:val="20"/>
        </w:rPr>
        <w:t>Facilitator</w:t>
      </w:r>
      <w:r w:rsidR="00EE4D6E" w:rsidRPr="00EE4D6E">
        <w:rPr>
          <w:b/>
          <w:sz w:val="20"/>
          <w:szCs w:val="20"/>
        </w:rPr>
        <w:br/>
      </w:r>
      <w:proofErr w:type="spellStart"/>
      <w:r w:rsidRPr="00EE4D6E">
        <w:rPr>
          <w:sz w:val="20"/>
          <w:szCs w:val="20"/>
        </w:rPr>
        <w:t>Cianán</w:t>
      </w:r>
      <w:proofErr w:type="spellEnd"/>
      <w:r w:rsidRPr="00EE4D6E">
        <w:rPr>
          <w:sz w:val="20"/>
          <w:szCs w:val="20"/>
        </w:rPr>
        <w:t xml:space="preserve"> Russell, APTN</w:t>
      </w:r>
    </w:p>
    <w:p w14:paraId="42994EF1" w14:textId="671704A0" w:rsidR="0075434A" w:rsidRPr="00EE4D6E" w:rsidRDefault="0075434A" w:rsidP="00EE4D6E">
      <w:pPr>
        <w:pStyle w:val="NormalTextBox"/>
        <w:spacing w:before="120"/>
        <w:rPr>
          <w:sz w:val="20"/>
          <w:szCs w:val="20"/>
        </w:rPr>
      </w:pPr>
      <w:r w:rsidRPr="00EE4D6E">
        <w:rPr>
          <w:b/>
          <w:sz w:val="20"/>
          <w:szCs w:val="20"/>
        </w:rPr>
        <w:t>Rapporteur</w:t>
      </w:r>
      <w:r w:rsidR="00EE4D6E" w:rsidRPr="00EE4D6E">
        <w:rPr>
          <w:b/>
          <w:sz w:val="20"/>
          <w:szCs w:val="20"/>
        </w:rPr>
        <w:br/>
      </w:r>
      <w:r w:rsidRPr="00EE4D6E">
        <w:rPr>
          <w:sz w:val="20"/>
          <w:szCs w:val="20"/>
        </w:rPr>
        <w:t>M</w:t>
      </w:r>
      <w:r w:rsidR="00EE4D6E">
        <w:rPr>
          <w:sz w:val="20"/>
          <w:szCs w:val="20"/>
        </w:rPr>
        <w:t xml:space="preserve">oises Pereira, NHRI Timor </w:t>
      </w:r>
      <w:proofErr w:type="spellStart"/>
      <w:r w:rsidR="00EE4D6E">
        <w:rPr>
          <w:sz w:val="20"/>
          <w:szCs w:val="20"/>
        </w:rPr>
        <w:t>Leste</w:t>
      </w:r>
      <w:proofErr w:type="spellEnd"/>
    </w:p>
    <w:p w14:paraId="0E765ACE" w14:textId="77E39C0C" w:rsidR="0075434A" w:rsidRPr="00B068A2" w:rsidRDefault="0075434A" w:rsidP="00FB54B4">
      <w:pPr>
        <w:pStyle w:val="Heading4"/>
      </w:pPr>
      <w:r w:rsidRPr="00B068A2">
        <w:rPr>
          <w:lang w:val="en-GB"/>
        </w:rPr>
        <w:t>Question 1: Gaps in the Yogyak</w:t>
      </w:r>
      <w:r w:rsidR="00EE4D6E">
        <w:rPr>
          <w:lang w:val="en-GB"/>
        </w:rPr>
        <w:t>arta Principles in relation to gender i</w:t>
      </w:r>
      <w:r w:rsidRPr="00B068A2">
        <w:rPr>
          <w:lang w:val="en-GB"/>
        </w:rPr>
        <w:t>dentity</w:t>
      </w:r>
    </w:p>
    <w:p w14:paraId="6D864FD9" w14:textId="77777777" w:rsidR="0075434A" w:rsidRPr="00B068A2" w:rsidRDefault="0075434A" w:rsidP="00EE4D6E">
      <w:pPr>
        <w:pStyle w:val="ListBulletLessSpace"/>
      </w:pPr>
      <w:r w:rsidRPr="00B068A2">
        <w:t>Explicit discussion on gender expression is absent in the Yogyakarta Principles</w:t>
      </w:r>
    </w:p>
    <w:p w14:paraId="54B22ED1" w14:textId="77777777" w:rsidR="0075434A" w:rsidRPr="00B068A2" w:rsidRDefault="0075434A" w:rsidP="00EE4D6E">
      <w:pPr>
        <w:pStyle w:val="ListBulletLessSpace"/>
      </w:pPr>
      <w:r w:rsidRPr="00B068A2">
        <w:t xml:space="preserve">There is no reference to freedom of movement – in the context of gender identity </w:t>
      </w:r>
    </w:p>
    <w:p w14:paraId="52BAF2D9" w14:textId="77777777" w:rsidR="0075434A" w:rsidRPr="00B068A2" w:rsidRDefault="0075434A" w:rsidP="00EE4D6E">
      <w:pPr>
        <w:pStyle w:val="ListBulletLessSpace"/>
      </w:pPr>
      <w:r w:rsidRPr="00B068A2">
        <w:t>Lack of reference to cultural identity</w:t>
      </w:r>
    </w:p>
    <w:p w14:paraId="69035063" w14:textId="77777777" w:rsidR="0075434A" w:rsidRPr="00B068A2" w:rsidRDefault="0075434A" w:rsidP="00EE4D6E">
      <w:pPr>
        <w:pStyle w:val="ListBulletLessSpace"/>
      </w:pPr>
      <w:r w:rsidRPr="00B068A2">
        <w:t xml:space="preserve">Although the Yogyakarta Principles uses non-binary language, the relationship between SO, GI, </w:t>
      </w:r>
      <w:r>
        <w:t>and G</w:t>
      </w:r>
      <w:r w:rsidRPr="00B068A2">
        <w:t>E is not clear</w:t>
      </w:r>
    </w:p>
    <w:p w14:paraId="3F2FD2D6" w14:textId="77777777" w:rsidR="0075434A" w:rsidRPr="00B068A2" w:rsidRDefault="0075434A" w:rsidP="00EE4D6E">
      <w:pPr>
        <w:pStyle w:val="ListBulletLessSpace"/>
      </w:pPr>
      <w:r w:rsidRPr="00B068A2">
        <w:t>Emergency conte</w:t>
      </w:r>
      <w:r>
        <w:t>x</w:t>
      </w:r>
      <w:r w:rsidRPr="00B068A2">
        <w:t xml:space="preserve">t is not included </w:t>
      </w:r>
      <w:r>
        <w:t>e.g. the important of official ID documents in times of emergency including in hospitals, emergency shelters, or crossing borders</w:t>
      </w:r>
    </w:p>
    <w:p w14:paraId="28B832A9" w14:textId="77777777" w:rsidR="0075434A" w:rsidRPr="00B068A2" w:rsidRDefault="0075434A" w:rsidP="00EE4D6E">
      <w:pPr>
        <w:pStyle w:val="ListBulletLessSpace"/>
      </w:pPr>
      <w:r>
        <w:t>The relationship between gender</w:t>
      </w:r>
      <w:r w:rsidRPr="00B068A2">
        <w:t xml:space="preserve"> expression and </w:t>
      </w:r>
      <w:r>
        <w:t xml:space="preserve">gender identity and </w:t>
      </w:r>
      <w:r w:rsidRPr="00B068A2">
        <w:t xml:space="preserve">freedom of religion are not included </w:t>
      </w:r>
    </w:p>
    <w:p w14:paraId="3D7C4BD8" w14:textId="77777777" w:rsidR="0075434A" w:rsidRPr="00B068A2" w:rsidRDefault="0075434A" w:rsidP="00EE4D6E">
      <w:pPr>
        <w:pStyle w:val="ListBulletLessSpace"/>
      </w:pPr>
      <w:r w:rsidRPr="00B068A2">
        <w:t>Lack of information on definitions of sex and gender in the Yogyakarta Principles</w:t>
      </w:r>
    </w:p>
    <w:p w14:paraId="64767E20" w14:textId="77777777" w:rsidR="0075434A" w:rsidRPr="00B068A2" w:rsidRDefault="0075434A" w:rsidP="00EE4D6E">
      <w:pPr>
        <w:pStyle w:val="ListBulletLessSpace"/>
      </w:pPr>
      <w:r>
        <w:t xml:space="preserve">Gender </w:t>
      </w:r>
      <w:r w:rsidRPr="00B068A2">
        <w:t xml:space="preserve">expression and cultural participation are not adequately covered </w:t>
      </w:r>
    </w:p>
    <w:p w14:paraId="30D1779B" w14:textId="77777777" w:rsidR="0075434A" w:rsidRPr="00B068A2" w:rsidRDefault="0075434A" w:rsidP="00EE4D6E">
      <w:pPr>
        <w:pStyle w:val="ListBulletLessSpace"/>
      </w:pPr>
      <w:r w:rsidRPr="00B068A2">
        <w:t xml:space="preserve">Gender identity and </w:t>
      </w:r>
      <w:r>
        <w:t xml:space="preserve">the </w:t>
      </w:r>
      <w:r w:rsidRPr="00B068A2">
        <w:t xml:space="preserve">right to family are not adequately addressed </w:t>
      </w:r>
    </w:p>
    <w:p w14:paraId="6EE630F3" w14:textId="77777777" w:rsidR="0075434A" w:rsidRPr="00B068A2" w:rsidRDefault="0075434A" w:rsidP="00EE4D6E">
      <w:pPr>
        <w:pStyle w:val="ListBulletLessSpace"/>
      </w:pPr>
      <w:r w:rsidRPr="00B068A2">
        <w:lastRenderedPageBreak/>
        <w:t xml:space="preserve">Incorporation of government data collection and </w:t>
      </w:r>
      <w:r>
        <w:t xml:space="preserve">the </w:t>
      </w:r>
      <w:r w:rsidRPr="00B068A2">
        <w:t xml:space="preserve">impact on the debate on gender identity </w:t>
      </w:r>
      <w:r>
        <w:t xml:space="preserve">is </w:t>
      </w:r>
      <w:r w:rsidRPr="00B068A2">
        <w:t>not fully covered</w:t>
      </w:r>
    </w:p>
    <w:p w14:paraId="0FF0CA99" w14:textId="77777777" w:rsidR="0075434A" w:rsidRPr="00B068A2" w:rsidRDefault="0075434A" w:rsidP="00EE4D6E">
      <w:pPr>
        <w:pStyle w:val="ListBulletLessSpace"/>
      </w:pPr>
      <w:r w:rsidRPr="00B068A2">
        <w:t>Gender Identity and issues of inheritance</w:t>
      </w:r>
      <w:r>
        <w:t xml:space="preserve"> (where inheritance is based on gender and relationships)</w:t>
      </w:r>
      <w:r w:rsidRPr="00B068A2">
        <w:t xml:space="preserve"> are not adequately covered </w:t>
      </w:r>
    </w:p>
    <w:p w14:paraId="23990DD9" w14:textId="04D85343" w:rsidR="0075434A" w:rsidRDefault="0075434A" w:rsidP="00EE4D6E">
      <w:pPr>
        <w:pStyle w:val="ListBulletLessSpace"/>
      </w:pPr>
      <w:r w:rsidRPr="00B068A2">
        <w:t>Gender norms and soci</w:t>
      </w:r>
      <w:r w:rsidR="00EE4D6E">
        <w:t>al gender are not distinguished.</w:t>
      </w:r>
    </w:p>
    <w:p w14:paraId="4C53FC14" w14:textId="56B367FD" w:rsidR="0075434A" w:rsidRPr="00B068A2" w:rsidRDefault="00FB54B4" w:rsidP="00FB54B4">
      <w:pPr>
        <w:pStyle w:val="Heading4"/>
        <w:rPr>
          <w:lang w:val="en-GB"/>
        </w:rPr>
      </w:pPr>
      <w:r>
        <w:rPr>
          <w:lang w:val="en-GB"/>
        </w:rPr>
        <w:t>Question 2: R</w:t>
      </w:r>
      <w:r w:rsidR="0075434A" w:rsidRPr="00B068A2">
        <w:rPr>
          <w:lang w:val="en-GB"/>
        </w:rPr>
        <w:t>oles of specific actors</w:t>
      </w:r>
    </w:p>
    <w:p w14:paraId="4CFA706B" w14:textId="42A59736" w:rsidR="0075434A" w:rsidRPr="00B068A2" w:rsidRDefault="00EE4D6E" w:rsidP="002A472B">
      <w:pPr>
        <w:pStyle w:val="Heading5"/>
      </w:pPr>
      <w:r>
        <w:t>States</w:t>
      </w:r>
    </w:p>
    <w:p w14:paraId="3EB79AF4" w14:textId="77777777" w:rsidR="0075434A" w:rsidRPr="00B068A2" w:rsidRDefault="0075434A" w:rsidP="00EE4D6E">
      <w:pPr>
        <w:pStyle w:val="ListBulletLessSpace"/>
      </w:pPr>
      <w:r w:rsidRPr="00B068A2">
        <w:t xml:space="preserve">Provide linkages with culture, history, medicine, education and sports in the context of gender identity </w:t>
      </w:r>
    </w:p>
    <w:p w14:paraId="24C05391" w14:textId="71EC5F6A" w:rsidR="0075434A" w:rsidRPr="00B068A2" w:rsidRDefault="0075434A" w:rsidP="00EE4D6E">
      <w:pPr>
        <w:pStyle w:val="ListBulletLessSpace"/>
      </w:pPr>
      <w:r w:rsidRPr="00B068A2">
        <w:t>Build infrastructure and facilities in relation to provision of adequ</w:t>
      </w:r>
      <w:r w:rsidR="00EE4D6E">
        <w:t>ate support for gender identity.</w:t>
      </w:r>
    </w:p>
    <w:p w14:paraId="01529BC0" w14:textId="4915CC29" w:rsidR="0075434A" w:rsidRPr="00B068A2" w:rsidRDefault="00EE4D6E" w:rsidP="002A472B">
      <w:pPr>
        <w:pStyle w:val="Heading5"/>
      </w:pPr>
      <w:r>
        <w:t>Law enforcement agencies</w:t>
      </w:r>
    </w:p>
    <w:p w14:paraId="592DBF75" w14:textId="55CA72EE" w:rsidR="0075434A" w:rsidRPr="00B068A2" w:rsidRDefault="00EE4D6E" w:rsidP="00EE4D6E">
      <w:pPr>
        <w:pStyle w:val="ListBulletLessSpace"/>
      </w:pPr>
      <w:r>
        <w:t>B</w:t>
      </w:r>
      <w:r w:rsidR="0075434A" w:rsidRPr="00B068A2">
        <w:t>etter understanding and sensit</w:t>
      </w:r>
      <w:r w:rsidR="0075434A">
        <w:t>is</w:t>
      </w:r>
      <w:r>
        <w:t>ation of gender identity issues.</w:t>
      </w:r>
    </w:p>
    <w:p w14:paraId="4B16D9E0" w14:textId="3714A2F8" w:rsidR="0075434A" w:rsidRPr="00B068A2" w:rsidRDefault="00EE4D6E" w:rsidP="002A472B">
      <w:pPr>
        <w:pStyle w:val="Heading5"/>
      </w:pPr>
      <w:r>
        <w:t>Advocates</w:t>
      </w:r>
    </w:p>
    <w:p w14:paraId="46B13AAB" w14:textId="2DBCC894" w:rsidR="0075434A" w:rsidRPr="00B068A2" w:rsidRDefault="0075434A" w:rsidP="00EE4D6E">
      <w:pPr>
        <w:pStyle w:val="ListBulletLessSpace"/>
      </w:pPr>
      <w:r w:rsidRPr="00B068A2">
        <w:t>Recognition of positive and negative aspects</w:t>
      </w:r>
      <w:r w:rsidR="00EE4D6E">
        <w:t>.</w:t>
      </w:r>
    </w:p>
    <w:p w14:paraId="1824993A" w14:textId="2AE55DB0" w:rsidR="0075434A" w:rsidRPr="00B068A2" w:rsidRDefault="0075434A" w:rsidP="002A472B">
      <w:pPr>
        <w:pStyle w:val="Heading5"/>
      </w:pPr>
      <w:r w:rsidRPr="00B068A2">
        <w:t>UN agencies and their vertical interac</w:t>
      </w:r>
      <w:r w:rsidR="00EE4D6E">
        <w:t>tions</w:t>
      </w:r>
    </w:p>
    <w:p w14:paraId="4F16F726" w14:textId="3C47FF7B" w:rsidR="0075434A" w:rsidRDefault="0075434A" w:rsidP="00EE4D6E">
      <w:pPr>
        <w:pStyle w:val="ListBulletLessSpace"/>
      </w:pPr>
      <w:r w:rsidRPr="00B068A2">
        <w:t>Develop better representation of gender identity issues and use relevant language</w:t>
      </w:r>
      <w:r w:rsidR="00EE4D6E">
        <w:t>.</w:t>
      </w:r>
    </w:p>
    <w:p w14:paraId="296F74D9" w14:textId="6EEEF6E1" w:rsidR="0075434A" w:rsidRDefault="00EE4D6E" w:rsidP="00FB54B4">
      <w:pPr>
        <w:pStyle w:val="Heading3"/>
      </w:pPr>
      <w:bookmarkStart w:id="66" w:name="_Toc491332774"/>
      <w:r>
        <w:t>Workstation 3: Faith, culture and f</w:t>
      </w:r>
      <w:r w:rsidR="0075434A" w:rsidRPr="00B068A2">
        <w:t>amily</w:t>
      </w:r>
      <w:bookmarkEnd w:id="66"/>
    </w:p>
    <w:p w14:paraId="41129803" w14:textId="77777777" w:rsidR="00BA7A87" w:rsidRPr="00BA7A87" w:rsidRDefault="0075434A" w:rsidP="00BA7A87">
      <w:pPr>
        <w:pStyle w:val="NormalTextBox"/>
        <w:spacing w:after="120"/>
        <w:rPr>
          <w:sz w:val="20"/>
          <w:szCs w:val="20"/>
        </w:rPr>
      </w:pPr>
      <w:r w:rsidRPr="00BA7A87">
        <w:rPr>
          <w:b/>
          <w:sz w:val="20"/>
          <w:szCs w:val="20"/>
        </w:rPr>
        <w:t>Facilitator</w:t>
      </w:r>
      <w:r w:rsidR="00BA7A87" w:rsidRPr="00BA7A87">
        <w:rPr>
          <w:b/>
          <w:sz w:val="20"/>
          <w:szCs w:val="20"/>
        </w:rPr>
        <w:br/>
      </w:r>
      <w:r w:rsidRPr="00BA7A87">
        <w:rPr>
          <w:sz w:val="20"/>
          <w:szCs w:val="20"/>
        </w:rPr>
        <w:t xml:space="preserve">Ryan </w:t>
      </w:r>
      <w:proofErr w:type="spellStart"/>
      <w:r w:rsidRPr="00BA7A87">
        <w:rPr>
          <w:sz w:val="20"/>
          <w:szCs w:val="20"/>
        </w:rPr>
        <w:t>Silverio</w:t>
      </w:r>
      <w:proofErr w:type="spellEnd"/>
      <w:r w:rsidRPr="00BA7A87">
        <w:rPr>
          <w:sz w:val="20"/>
          <w:szCs w:val="20"/>
        </w:rPr>
        <w:t>, ASEAN SOGIE Caucus</w:t>
      </w:r>
    </w:p>
    <w:p w14:paraId="11436E9C" w14:textId="23D91C38" w:rsidR="0075434A" w:rsidRPr="00BA7A87" w:rsidRDefault="0075434A" w:rsidP="00BA7A87">
      <w:pPr>
        <w:pStyle w:val="NormalTextBox"/>
        <w:spacing w:before="120"/>
        <w:rPr>
          <w:sz w:val="20"/>
          <w:szCs w:val="20"/>
        </w:rPr>
      </w:pPr>
      <w:r w:rsidRPr="00BA7A87">
        <w:rPr>
          <w:b/>
          <w:sz w:val="20"/>
          <w:szCs w:val="20"/>
        </w:rPr>
        <w:t>Rapporteur</w:t>
      </w:r>
      <w:r w:rsidR="00BA7A87" w:rsidRPr="00BA7A87">
        <w:rPr>
          <w:b/>
          <w:sz w:val="20"/>
          <w:szCs w:val="20"/>
        </w:rPr>
        <w:br/>
      </w:r>
      <w:proofErr w:type="spellStart"/>
      <w:r w:rsidRPr="00BA7A87">
        <w:rPr>
          <w:sz w:val="20"/>
          <w:szCs w:val="20"/>
        </w:rPr>
        <w:t>Nurul</w:t>
      </w:r>
      <w:proofErr w:type="spellEnd"/>
      <w:r w:rsidRPr="00BA7A87">
        <w:rPr>
          <w:sz w:val="20"/>
          <w:szCs w:val="20"/>
        </w:rPr>
        <w:t xml:space="preserve"> </w:t>
      </w:r>
      <w:proofErr w:type="spellStart"/>
      <w:r w:rsidRPr="00BA7A87">
        <w:rPr>
          <w:sz w:val="20"/>
          <w:szCs w:val="20"/>
        </w:rPr>
        <w:t>Hasanah</w:t>
      </w:r>
      <w:proofErr w:type="spellEnd"/>
      <w:r w:rsidRPr="00BA7A87">
        <w:rPr>
          <w:sz w:val="20"/>
          <w:szCs w:val="20"/>
        </w:rPr>
        <w:t>, NHRI Malaysia</w:t>
      </w:r>
    </w:p>
    <w:p w14:paraId="62F721F9" w14:textId="77777777" w:rsidR="0075434A" w:rsidRPr="00B068A2" w:rsidRDefault="0075434A" w:rsidP="00FB54B4">
      <w:pPr>
        <w:pStyle w:val="Heading4"/>
        <w:rPr>
          <w:lang w:val="en-GB"/>
        </w:rPr>
      </w:pPr>
      <w:r w:rsidRPr="00B068A2">
        <w:rPr>
          <w:lang w:val="en-GB"/>
        </w:rPr>
        <w:t>Question 1: Gaps in legal protection</w:t>
      </w:r>
    </w:p>
    <w:p w14:paraId="3DDF3C5A" w14:textId="2FE5E0DA" w:rsidR="0075434A" w:rsidRDefault="00BA7A87" w:rsidP="002A472B">
      <w:pPr>
        <w:pStyle w:val="Heading5"/>
      </w:pPr>
      <w:r>
        <w:t>Intersectionality</w:t>
      </w:r>
    </w:p>
    <w:p w14:paraId="381B1BF1" w14:textId="77777777" w:rsidR="0075434A" w:rsidRPr="00B068A2" w:rsidRDefault="0075434A" w:rsidP="00BA7A87">
      <w:pPr>
        <w:pStyle w:val="ListBulletLessSpace"/>
      </w:pPr>
      <w:r>
        <w:t>It is i</w:t>
      </w:r>
      <w:r w:rsidRPr="00B068A2">
        <w:t xml:space="preserve">mportant for </w:t>
      </w:r>
      <w:r w:rsidRPr="00962312">
        <w:t>Yogyakarta Principles</w:t>
      </w:r>
      <w:r w:rsidRPr="00B068A2">
        <w:t xml:space="preserve"> to recogn</w:t>
      </w:r>
      <w:r>
        <w:t>is</w:t>
      </w:r>
      <w:r w:rsidRPr="00B068A2">
        <w:t>e the intersectionality of rights and approaches which may have positive implication to reinforce its substantive contents. In applying</w:t>
      </w:r>
      <w:r>
        <w:t xml:space="preserve"> an</w:t>
      </w:r>
      <w:r w:rsidRPr="00B068A2">
        <w:t xml:space="preserve"> intersectional perspective, the </w:t>
      </w:r>
      <w:r>
        <w:t>Principles</w:t>
      </w:r>
      <w:r w:rsidRPr="00B068A2">
        <w:t xml:space="preserve"> need to address cross-cutting issues such as </w:t>
      </w:r>
      <w:r>
        <w:t xml:space="preserve">those </w:t>
      </w:r>
      <w:r w:rsidRPr="00B068A2">
        <w:t>surrounding gender-based violence; child</w:t>
      </w:r>
      <w:r>
        <w:t>ren’s</w:t>
      </w:r>
      <w:r w:rsidRPr="00B068A2">
        <w:t xml:space="preserve"> rights; women</w:t>
      </w:r>
      <w:r>
        <w:t>’s</w:t>
      </w:r>
      <w:r w:rsidRPr="00B068A2">
        <w:t xml:space="preserve"> rights etc. </w:t>
      </w:r>
      <w:r>
        <w:t>They</w:t>
      </w:r>
      <w:r w:rsidRPr="00B068A2">
        <w:t xml:space="preserve"> should also reflect the nuances of each human rights instrument. The primacy of the heteronormative family as the ideal may be challenged by counter-narratives of persons from diverse contexts such</w:t>
      </w:r>
      <w:r>
        <w:t xml:space="preserve"> as</w:t>
      </w:r>
      <w:r w:rsidRPr="00B068A2">
        <w:t xml:space="preserve"> those in migration, in armed conflict scenarios, in natural disasters who may be living in different family arrangements.</w:t>
      </w:r>
    </w:p>
    <w:p w14:paraId="030BBED3" w14:textId="77777777" w:rsidR="0075434A" w:rsidRDefault="0075434A" w:rsidP="002A472B">
      <w:pPr>
        <w:pStyle w:val="Heading5"/>
      </w:pPr>
      <w:r>
        <w:t>Future evolution of the Principles</w:t>
      </w:r>
    </w:p>
    <w:p w14:paraId="74A4690F" w14:textId="4B71C073" w:rsidR="0075434A" w:rsidRPr="00B068A2" w:rsidRDefault="0075434A" w:rsidP="00BA7A87">
      <w:pPr>
        <w:pStyle w:val="ListBulletLessSpace"/>
      </w:pPr>
      <w:r>
        <w:t>The Principles</w:t>
      </w:r>
      <w:r w:rsidRPr="00B068A2">
        <w:t xml:space="preserve"> </w:t>
      </w:r>
      <w:r>
        <w:t>form</w:t>
      </w:r>
      <w:r w:rsidRPr="00B068A2">
        <w:t xml:space="preserve"> a living document and just like any other international human rights instruments, should be allowed to evolve. </w:t>
      </w:r>
      <w:r>
        <w:t>The Principles</w:t>
      </w:r>
      <w:r w:rsidRPr="00B068A2">
        <w:t xml:space="preserve"> should not be frequently amend</w:t>
      </w:r>
      <w:r w:rsidR="00BA7A87">
        <w:t>ed to reflect all development/</w:t>
      </w:r>
      <w:r w:rsidRPr="00B068A2">
        <w:t xml:space="preserve">evolution. Unless amendment is necessary to reflect critical issues, guidance documents or explanatory notes are </w:t>
      </w:r>
      <w:r w:rsidRPr="00B068A2">
        <w:lastRenderedPageBreak/>
        <w:t>sufficient to capture the evolution. Something akin to the general comment</w:t>
      </w:r>
      <w:r w:rsidR="006F368D">
        <w:t>/</w:t>
      </w:r>
      <w:r w:rsidRPr="00B068A2">
        <w:t>recommendations of treaty bodies can be more effective.</w:t>
      </w:r>
    </w:p>
    <w:p w14:paraId="625F5E6F" w14:textId="77777777" w:rsidR="0075434A" w:rsidRDefault="0075434A" w:rsidP="002A472B">
      <w:pPr>
        <w:pStyle w:val="Heading5"/>
      </w:pPr>
      <w:r>
        <w:t xml:space="preserve">Religion, culture and violence </w:t>
      </w:r>
    </w:p>
    <w:p w14:paraId="7FB6AE26" w14:textId="2E3AFB8E" w:rsidR="0075434A" w:rsidRDefault="0075434A" w:rsidP="00BA7A87">
      <w:pPr>
        <w:pStyle w:val="ListBulletLessSpace"/>
      </w:pPr>
      <w:r>
        <w:t>Principle</w:t>
      </w:r>
      <w:r w:rsidRPr="00B068A2">
        <w:t xml:space="preserve"> 21 is open and comprehensively embraces the rights of LGBTI to hold freedom of thought, conscience and religion</w:t>
      </w:r>
      <w:r>
        <w:t>. H</w:t>
      </w:r>
      <w:r w:rsidRPr="00B068A2">
        <w:t>owever</w:t>
      </w:r>
      <w:r>
        <w:t>,</w:t>
      </w:r>
      <w:r w:rsidRPr="00B068A2">
        <w:t xml:space="preserve"> it does not cover imposition of religi</w:t>
      </w:r>
      <w:r w:rsidR="00BA7A87">
        <w:t>ous values on LGBTI individuals</w:t>
      </w:r>
    </w:p>
    <w:p w14:paraId="1E43E23D" w14:textId="221BAD63" w:rsidR="0075434A" w:rsidRPr="00E24139" w:rsidRDefault="0075434A" w:rsidP="00BA7A87">
      <w:pPr>
        <w:pStyle w:val="ListBulletLessSpace"/>
      </w:pPr>
      <w:r>
        <w:t>Principle</w:t>
      </w:r>
      <w:r w:rsidRPr="00B068A2">
        <w:t xml:space="preserve"> 21 lacks clarity on how religions and the practices should treat LGBTI people. There is no critical view on how religion and religious practices perpetuate </w:t>
      </w:r>
      <w:r>
        <w:t xml:space="preserve">the </w:t>
      </w:r>
      <w:r w:rsidRPr="00B068A2">
        <w:t>gender-binary, p</w:t>
      </w:r>
      <w:r w:rsidR="00BA7A87">
        <w:t>atriarchy and heteronormativity</w:t>
      </w:r>
    </w:p>
    <w:p w14:paraId="2D4B1082" w14:textId="55F6630E" w:rsidR="0075434A" w:rsidRPr="00B068A2" w:rsidRDefault="0075434A" w:rsidP="00BA7A87">
      <w:pPr>
        <w:pStyle w:val="ListBulletLessSpace"/>
      </w:pPr>
      <w:r w:rsidRPr="00B068A2">
        <w:t xml:space="preserve">While </w:t>
      </w:r>
      <w:r>
        <w:t>Principles</w:t>
      </w:r>
      <w:r w:rsidRPr="00B068A2">
        <w:t xml:space="preserve"> 21, 24 and 26 </w:t>
      </w:r>
      <w:r>
        <w:t>reiterate</w:t>
      </w:r>
      <w:r w:rsidRPr="00B068A2">
        <w:t xml:space="preserve"> </w:t>
      </w:r>
      <w:r>
        <w:t>that</w:t>
      </w:r>
      <w:r w:rsidRPr="00B068A2">
        <w:t xml:space="preserve"> LGBTI people have </w:t>
      </w:r>
      <w:r>
        <w:t xml:space="preserve">the </w:t>
      </w:r>
      <w:r w:rsidRPr="00B068A2">
        <w:t xml:space="preserve">right to faith, </w:t>
      </w:r>
      <w:r>
        <w:t xml:space="preserve">to </w:t>
      </w:r>
      <w:r w:rsidRPr="00B068A2">
        <w:t>form family and</w:t>
      </w:r>
      <w:r>
        <w:t xml:space="preserve"> to</w:t>
      </w:r>
      <w:r w:rsidRPr="00B068A2">
        <w:t xml:space="preserve"> participate in cultural rights,</w:t>
      </w:r>
      <w:r>
        <w:t xml:space="preserve"> the Principles are silent on the right of LGBTI people to</w:t>
      </w:r>
      <w:r w:rsidRPr="00B068A2">
        <w:t xml:space="preserve"> protection against violence based on religious belief and/or culture and/or patriarchal family setting. It is therefore necessary to review the existing </w:t>
      </w:r>
      <w:r>
        <w:t>Principles</w:t>
      </w:r>
      <w:r w:rsidRPr="00B068A2">
        <w:t xml:space="preserve"> to ensure </w:t>
      </w:r>
      <w:r>
        <w:t>they</w:t>
      </w:r>
      <w:r w:rsidRPr="00B068A2">
        <w:t xml:space="preserve"> explicitly provide for protection of LGBTI people from </w:t>
      </w:r>
      <w:r w:rsidRPr="00500535">
        <w:t>religiously motivated violence</w:t>
      </w:r>
      <w:r w:rsidRPr="00B068A2">
        <w:t xml:space="preserve"> and/or patriarchal cultures and family settings. The C</w:t>
      </w:r>
      <w:r>
        <w:t xml:space="preserve">onvention on the </w:t>
      </w:r>
      <w:r w:rsidRPr="00B068A2">
        <w:t>E</w:t>
      </w:r>
      <w:r>
        <w:t xml:space="preserve">limination of All Forms of </w:t>
      </w:r>
      <w:r w:rsidRPr="00B068A2">
        <w:t>D</w:t>
      </w:r>
      <w:r>
        <w:t xml:space="preserve">iscrimination </w:t>
      </w:r>
      <w:r w:rsidRPr="00B068A2">
        <w:t>A</w:t>
      </w:r>
      <w:r>
        <w:t xml:space="preserve">gainst </w:t>
      </w:r>
      <w:r w:rsidRPr="00B068A2">
        <w:t>W</w:t>
      </w:r>
      <w:r>
        <w:t>omen (CEDAW)</w:t>
      </w:r>
      <w:r w:rsidRPr="00B068A2">
        <w:t>, for example, obligates the state to take necessary measures to eradicate cultural and traditional practices that perpetua</w:t>
      </w:r>
      <w:r w:rsidR="00BA7A87">
        <w:t>te discrimination against women</w:t>
      </w:r>
    </w:p>
    <w:p w14:paraId="33C5169B" w14:textId="6BFAC4E9" w:rsidR="0075434A" w:rsidRPr="00E24139" w:rsidRDefault="0075434A" w:rsidP="00BA7A87">
      <w:pPr>
        <w:pStyle w:val="ListBulletLessSpace"/>
      </w:pPr>
      <w:r w:rsidRPr="00B068A2">
        <w:t>Any conduct of dialogue or negotiation with a view to transform culture, faith and other social norms must be viewed as a political act.</w:t>
      </w:r>
      <w:r w:rsidR="00F3764F">
        <w:t xml:space="preserve"> </w:t>
      </w:r>
      <w:r w:rsidRPr="00B068A2">
        <w:t xml:space="preserve">As such there should be a critical view on the power-dynamics that may exist between bearers of culture and religion and the LGBTI community. </w:t>
      </w:r>
      <w:r>
        <w:t>H</w:t>
      </w:r>
      <w:r w:rsidRPr="00B068A2">
        <w:t xml:space="preserve">ow the LGBTI community and allies strengthen its ranks within this </w:t>
      </w:r>
      <w:r>
        <w:t>process i</w:t>
      </w:r>
      <w:r w:rsidRPr="00B068A2">
        <w:t>s</w:t>
      </w:r>
      <w:r>
        <w:t xml:space="preserve"> crucial</w:t>
      </w:r>
      <w:r w:rsidRPr="00B068A2">
        <w:t xml:space="preserve">. The </w:t>
      </w:r>
      <w:r>
        <w:t>Principles</w:t>
      </w:r>
      <w:r w:rsidRPr="00B068A2">
        <w:t xml:space="preserve"> on right to participation in community life is crucial but this should be explained in a transformative way, i.e</w:t>
      </w:r>
      <w:r>
        <w:t>. reinforce the idea that LGBTI</w:t>
      </w:r>
      <w:r w:rsidRPr="00B068A2">
        <w:t xml:space="preserve"> community and movement have the right to in</w:t>
      </w:r>
      <w:r w:rsidR="00BA7A87">
        <w:t>fluence social change processes</w:t>
      </w:r>
    </w:p>
    <w:p w14:paraId="2B0107CF" w14:textId="3DF4E7A6" w:rsidR="0075434A" w:rsidRPr="00B068A2" w:rsidRDefault="0075434A" w:rsidP="00BA7A87">
      <w:pPr>
        <w:pStyle w:val="ListBulletLessSpace"/>
      </w:pPr>
      <w:r w:rsidRPr="00B068A2">
        <w:t>Elaborat</w:t>
      </w:r>
      <w:r>
        <w:t>e</w:t>
      </w:r>
      <w:r w:rsidRPr="00B068A2">
        <w:t xml:space="preserve"> on the limit of manifestation of belief (teaching, worship and practices) and where they should be limite</w:t>
      </w:r>
      <w:r w:rsidR="00BA7A87">
        <w:t>d to avoid harm to LGBTI people</w:t>
      </w:r>
    </w:p>
    <w:p w14:paraId="61955F52" w14:textId="5B3D9062" w:rsidR="0075434A" w:rsidRPr="00B068A2" w:rsidRDefault="0075434A" w:rsidP="00BA7A87">
      <w:pPr>
        <w:pStyle w:val="ListBulletLessSpace"/>
      </w:pPr>
      <w:r w:rsidRPr="00B068A2">
        <w:t xml:space="preserve">To identify entry points in </w:t>
      </w:r>
      <w:r>
        <w:t>the Principles</w:t>
      </w:r>
      <w:r w:rsidRPr="00B068A2">
        <w:t xml:space="preserve"> in relation to family to</w:t>
      </w:r>
      <w:r w:rsidR="00F3764F">
        <w:t xml:space="preserve"> support LGBTI people from non-</w:t>
      </w:r>
      <w:r w:rsidRPr="00B068A2">
        <w:t>Abrahamic or institutional</w:t>
      </w:r>
      <w:r>
        <w:t>is</w:t>
      </w:r>
      <w:r w:rsidRPr="00B068A2">
        <w:t>ed religions, such as spiritual tradition</w:t>
      </w:r>
      <w:r>
        <w:t>s</w:t>
      </w:r>
      <w:r w:rsidRPr="00B068A2">
        <w:t xml:space="preserve"> with multiple approaches e</w:t>
      </w:r>
      <w:r>
        <w:t>.</w:t>
      </w:r>
      <w:r w:rsidRPr="00B068A2">
        <w:t>g</w:t>
      </w:r>
      <w:r>
        <w:t>.</w:t>
      </w:r>
      <w:r w:rsidRPr="00B068A2">
        <w:t xml:space="preserve"> Hinduis</w:t>
      </w:r>
      <w:r w:rsidR="00BA7A87">
        <w:t>m, Buddhism and Taoism and Yoga</w:t>
      </w:r>
    </w:p>
    <w:p w14:paraId="3A76C5CD" w14:textId="77777777" w:rsidR="0075434A" w:rsidRPr="00E24139" w:rsidRDefault="0075434A" w:rsidP="00BA7A87">
      <w:pPr>
        <w:pStyle w:val="ListBulletLessSpace"/>
      </w:pPr>
      <w:r>
        <w:t>The i</w:t>
      </w:r>
      <w:r w:rsidRPr="00E24139">
        <w:t xml:space="preserve">nability of some religious and cultural norms to reconcile with the human rights of LGBTI people should be </w:t>
      </w:r>
      <w:r>
        <w:t>addressed through political engagement.</w:t>
      </w:r>
    </w:p>
    <w:p w14:paraId="798F0A5B" w14:textId="77777777" w:rsidR="0075434A" w:rsidRDefault="0075434A" w:rsidP="002A472B">
      <w:pPr>
        <w:pStyle w:val="Heading5"/>
      </w:pPr>
      <w:r>
        <w:t>Family</w:t>
      </w:r>
    </w:p>
    <w:p w14:paraId="7F8D50CC" w14:textId="6FE930EC" w:rsidR="0075434A" w:rsidRPr="00B068A2" w:rsidRDefault="0075434A" w:rsidP="00681332">
      <w:pPr>
        <w:pStyle w:val="ListBulletLessSpace"/>
      </w:pPr>
      <w:r>
        <w:t>Principle</w:t>
      </w:r>
      <w:r w:rsidRPr="00B068A2">
        <w:t xml:space="preserve"> 24 touches on rights to form family but again does not encapsulate the family duty to protect and not to harm LGBTI people. Given the evolving discourses around non-state actors as human rights duty-bearers, </w:t>
      </w:r>
      <w:r>
        <w:t>the Principles</w:t>
      </w:r>
      <w:r w:rsidRPr="00B068A2">
        <w:t xml:space="preserve"> should consider how the family should be obligated to protect and promote </w:t>
      </w:r>
      <w:r>
        <w:t xml:space="preserve">the </w:t>
      </w:r>
      <w:r w:rsidR="00681332">
        <w:t>rights of LGBTI people</w:t>
      </w:r>
    </w:p>
    <w:p w14:paraId="6B61992B" w14:textId="7E7674C2" w:rsidR="0075434A" w:rsidRPr="00B068A2" w:rsidRDefault="0075434A" w:rsidP="00681332">
      <w:pPr>
        <w:pStyle w:val="ListBulletLessSpace"/>
      </w:pPr>
      <w:r>
        <w:t xml:space="preserve">Principle </w:t>
      </w:r>
      <w:r w:rsidRPr="00B068A2">
        <w:t xml:space="preserve">24 </w:t>
      </w:r>
      <w:r>
        <w:t>does not include a</w:t>
      </w:r>
      <w:r w:rsidRPr="00B068A2">
        <w:t xml:space="preserve"> recognition of the existing fam</w:t>
      </w:r>
      <w:r w:rsidR="00681332">
        <w:t>ily acceptance of LGBTI peoples</w:t>
      </w:r>
    </w:p>
    <w:p w14:paraId="1A3DF897" w14:textId="025627D2" w:rsidR="0075434A" w:rsidRPr="00B068A2" w:rsidRDefault="0075434A" w:rsidP="00681332">
      <w:pPr>
        <w:pStyle w:val="ListBulletLessSpace"/>
      </w:pPr>
      <w:r>
        <w:t>The Principles omit</w:t>
      </w:r>
      <w:r w:rsidRPr="00B068A2">
        <w:t xml:space="preserve"> the concept of “adoption” </w:t>
      </w:r>
      <w:r w:rsidR="00F3764F">
        <w:t>–</w:t>
      </w:r>
      <w:r w:rsidRPr="00B068A2">
        <w:t xml:space="preserve"> must add “adoption” in </w:t>
      </w:r>
      <w:r>
        <w:t>Principle</w:t>
      </w:r>
      <w:r w:rsidR="00681332">
        <w:t xml:space="preserve"> 24</w:t>
      </w:r>
    </w:p>
    <w:p w14:paraId="567676F8" w14:textId="13E77948" w:rsidR="0075434A" w:rsidRPr="00B068A2" w:rsidRDefault="0075434A" w:rsidP="00681332">
      <w:pPr>
        <w:pStyle w:val="ListBulletLessSpace"/>
      </w:pPr>
      <w:r w:rsidRPr="00B068A2">
        <w:t xml:space="preserve">To add a note on the definition of family which is currently missing in </w:t>
      </w:r>
      <w:r>
        <w:t>the Principles</w:t>
      </w:r>
      <w:r w:rsidRPr="00B068A2">
        <w:t>. “</w:t>
      </w:r>
      <w:r>
        <w:t>F</w:t>
      </w:r>
      <w:r w:rsidRPr="00B068A2">
        <w:t>amily” to encompass the idea of family of choice and family of origin. Also, add a note that provide</w:t>
      </w:r>
      <w:r>
        <w:t>s</w:t>
      </w:r>
      <w:r w:rsidRPr="00B068A2">
        <w:t xml:space="preserve"> a broad and diverse interpretation of family. It is important to ensure that</w:t>
      </w:r>
      <w:r>
        <w:t>,</w:t>
      </w:r>
      <w:r w:rsidRPr="00B068A2">
        <w:t xml:space="preserve"> in </w:t>
      </w:r>
      <w:r>
        <w:t xml:space="preserve">the </w:t>
      </w:r>
      <w:r w:rsidRPr="00B068A2">
        <w:t xml:space="preserve">case of adoption, the child is given the opportunity to understand </w:t>
      </w:r>
      <w:r>
        <w:t>their</w:t>
      </w:r>
      <w:r w:rsidR="00681332">
        <w:t xml:space="preserve"> family of origin</w:t>
      </w:r>
    </w:p>
    <w:p w14:paraId="19BEF830" w14:textId="7E03D1EB" w:rsidR="0075434A" w:rsidRPr="00B068A2" w:rsidRDefault="0075434A" w:rsidP="00681332">
      <w:pPr>
        <w:pStyle w:val="ListBulletLessSpace"/>
      </w:pPr>
      <w:r w:rsidRPr="00B068A2">
        <w:lastRenderedPageBreak/>
        <w:t>To include prohibition of (sole) family decision</w:t>
      </w:r>
      <w:r>
        <w:t>s</w:t>
      </w:r>
      <w:r w:rsidRPr="00B068A2">
        <w:t xml:space="preserve"> affecting LGBTI</w:t>
      </w:r>
      <w:r>
        <w:t>,</w:t>
      </w:r>
      <w:r w:rsidRPr="00B068A2">
        <w:t xml:space="preserve"> in particular intersex</w:t>
      </w:r>
      <w:r>
        <w:t>,</w:t>
      </w:r>
      <w:r w:rsidRPr="00B068A2">
        <w:t xml:space="preserve"> children. To ensure children are included in any decision affecting them</w:t>
      </w:r>
      <w:r>
        <w:t>,</w:t>
      </w:r>
      <w:r w:rsidRPr="00B068A2">
        <w:t xml:space="preserve"> in particular relating to gender assignment </w:t>
      </w:r>
      <w:r>
        <w:t>surgeries</w:t>
      </w:r>
      <w:r w:rsidRPr="00B068A2">
        <w:t xml:space="preserve">. It is important to add provision on intrusive surgery and bodily harm. To consider expanding </w:t>
      </w:r>
      <w:r>
        <w:t>Principle</w:t>
      </w:r>
      <w:r w:rsidRPr="00B068A2">
        <w:t xml:space="preserve"> 5 and 6 to encapsulate the issue of participatory rights of children </w:t>
      </w:r>
      <w:r w:rsidR="00681332">
        <w:t>and protection from bodily harm/</w:t>
      </w:r>
      <w:r w:rsidRPr="00B068A2">
        <w:t>intrusive surgery. In this case the right to participation under the CRC may be used to interpret</w:t>
      </w:r>
      <w:r>
        <w:t>,</w:t>
      </w:r>
      <w:r w:rsidRPr="00B068A2">
        <w:t xml:space="preserve"> in conjunction with the application of the best </w:t>
      </w:r>
      <w:r w:rsidR="00681332">
        <w:t>interest of the child principle</w:t>
      </w:r>
    </w:p>
    <w:p w14:paraId="4E441916" w14:textId="77777777" w:rsidR="0075434A" w:rsidRPr="00B068A2" w:rsidRDefault="0075434A" w:rsidP="00681332">
      <w:pPr>
        <w:pStyle w:val="ListBulletLessSpace"/>
      </w:pPr>
      <w:r>
        <w:t>The Principles lack</w:t>
      </w:r>
      <w:r w:rsidRPr="00B068A2">
        <w:t xml:space="preserve"> critical discussion on </w:t>
      </w:r>
      <w:r>
        <w:t>social norms about masculinity and patriarchy.</w:t>
      </w:r>
    </w:p>
    <w:p w14:paraId="25833E0E" w14:textId="77777777" w:rsidR="0075434A" w:rsidRDefault="0075434A" w:rsidP="002A472B">
      <w:pPr>
        <w:pStyle w:val="Heading5"/>
      </w:pPr>
      <w:r>
        <w:t>Cultural rights</w:t>
      </w:r>
    </w:p>
    <w:p w14:paraId="36F0697E" w14:textId="51A1D53D" w:rsidR="0075434A" w:rsidRPr="00B068A2" w:rsidRDefault="0075434A" w:rsidP="00681332">
      <w:pPr>
        <w:pStyle w:val="ListBulletLessSpace"/>
      </w:pPr>
      <w:r>
        <w:t>Principle</w:t>
      </w:r>
      <w:r w:rsidRPr="00B068A2">
        <w:t xml:space="preserve"> 26 talks about LGBTI rights to participate in cultural rights, but do not touch on LGBTI rights to be protected </w:t>
      </w:r>
      <w:r w:rsidR="00681332">
        <w:t>from violence based on culture</w:t>
      </w:r>
    </w:p>
    <w:p w14:paraId="400BC869" w14:textId="35C6F560" w:rsidR="0075434A" w:rsidRPr="00B068A2" w:rsidRDefault="0075434A" w:rsidP="00681332">
      <w:pPr>
        <w:pStyle w:val="ListBulletLessSpace"/>
      </w:pPr>
      <w:r>
        <w:t xml:space="preserve">The Principle </w:t>
      </w:r>
      <w:r w:rsidRPr="00B068A2">
        <w:t>fail</w:t>
      </w:r>
      <w:r>
        <w:t>s</w:t>
      </w:r>
      <w:r w:rsidRPr="00B068A2">
        <w:t xml:space="preserve"> to embrace and elaborate the unique indigenous cultural belief</w:t>
      </w:r>
      <w:r>
        <w:t>s</w:t>
      </w:r>
      <w:r w:rsidRPr="00B068A2">
        <w:t xml:space="preserve"> and practices that value gender fluidity and diverse identities. For example, in the Pacific, there are diverse socially accepted identities such as the </w:t>
      </w:r>
      <w:proofErr w:type="spellStart"/>
      <w:r w:rsidRPr="00B068A2">
        <w:t>Fa</w:t>
      </w:r>
      <w:r>
        <w:t>’a</w:t>
      </w:r>
      <w:r w:rsidR="00681332">
        <w:t>fafine</w:t>
      </w:r>
      <w:proofErr w:type="spellEnd"/>
      <w:r w:rsidR="00681332">
        <w:t>.</w:t>
      </w:r>
    </w:p>
    <w:p w14:paraId="67473675" w14:textId="55C6CB7C" w:rsidR="0075434A" w:rsidRPr="00B068A2" w:rsidRDefault="0015542A" w:rsidP="0015542A">
      <w:pPr>
        <w:pStyle w:val="Heading4"/>
        <w:rPr>
          <w:lang w:val="en-GB"/>
        </w:rPr>
      </w:pPr>
      <w:r>
        <w:rPr>
          <w:lang w:val="en-GB"/>
        </w:rPr>
        <w:t>Question 2: R</w:t>
      </w:r>
      <w:r w:rsidR="0075434A" w:rsidRPr="00B068A2">
        <w:rPr>
          <w:lang w:val="en-GB"/>
        </w:rPr>
        <w:t>oles of specific actors</w:t>
      </w:r>
    </w:p>
    <w:p w14:paraId="3201152D" w14:textId="6600E7AB" w:rsidR="0075434A" w:rsidRPr="00B068A2" w:rsidRDefault="00681332" w:rsidP="002A472B">
      <w:pPr>
        <w:pStyle w:val="Heading5"/>
      </w:pPr>
      <w:r>
        <w:t>States</w:t>
      </w:r>
    </w:p>
    <w:p w14:paraId="6E961DAF" w14:textId="1E3EB26B" w:rsidR="0075434A" w:rsidRPr="00B068A2" w:rsidRDefault="0075434A" w:rsidP="00681332">
      <w:pPr>
        <w:pStyle w:val="ListBulletLessSpace"/>
      </w:pPr>
      <w:r w:rsidRPr="00B068A2">
        <w:t>Dialogues are necessary to encourage discourse on LGBTI rights</w:t>
      </w:r>
      <w:r w:rsidR="006F368D">
        <w:t>/</w:t>
      </w:r>
      <w:r w:rsidRPr="00B068A2">
        <w:t>issues and seen as catalyst to acceptance and change. Dialogues should target faith and culture based organ</w:t>
      </w:r>
      <w:r>
        <w:t>is</w:t>
      </w:r>
      <w:r w:rsidRPr="00B068A2">
        <w:t xml:space="preserve">ation as well as religious leaders. It is also important to decide on the terms/nature of engagement. Depending on the level of acceptance of a particular religion or culture, discussion should focus on law, on rights and </w:t>
      </w:r>
      <w:r>
        <w:t xml:space="preserve">be </w:t>
      </w:r>
      <w:r w:rsidRPr="00B068A2">
        <w:t>fuelled by personal stories</w:t>
      </w:r>
      <w:r w:rsidR="006F368D">
        <w:t>/</w:t>
      </w:r>
      <w:r w:rsidRPr="00B068A2">
        <w:t xml:space="preserve">experiences rather than provisions of the scriptures or doctrine. However, in cases where doctrine or scriptures are supportive of LGBTI rights, </w:t>
      </w:r>
      <w:r>
        <w:t>these</w:t>
      </w:r>
      <w:r w:rsidRPr="00B068A2">
        <w:t xml:space="preserve"> should be leveraged.</w:t>
      </w:r>
    </w:p>
    <w:p w14:paraId="15DE15C4" w14:textId="4AC9275D" w:rsidR="0075434A" w:rsidRPr="00B068A2" w:rsidRDefault="00681332" w:rsidP="002A472B">
      <w:pPr>
        <w:pStyle w:val="Heading5"/>
      </w:pPr>
      <w:r>
        <w:t>NHRIs</w:t>
      </w:r>
    </w:p>
    <w:p w14:paraId="03F5BEFF" w14:textId="77777777" w:rsidR="0075434A" w:rsidRPr="00B068A2" w:rsidRDefault="0075434A" w:rsidP="00681332">
      <w:pPr>
        <w:pStyle w:val="ListBulletLessSpace"/>
      </w:pPr>
      <w:r w:rsidRPr="00B068A2">
        <w:t>NHRIs should be seen as important allies which can champion the issue of LGBTI rights through their mandate</w:t>
      </w:r>
    </w:p>
    <w:p w14:paraId="05ACF85C" w14:textId="21F7F4A0" w:rsidR="0075434A" w:rsidRPr="00B068A2" w:rsidRDefault="0075434A" w:rsidP="00681332">
      <w:pPr>
        <w:pStyle w:val="ListBulletLessSpace"/>
      </w:pPr>
      <w:r w:rsidRPr="00B068A2">
        <w:t>NHRIs can send the message to the community that human rights trumps cultural norms and values</w:t>
      </w:r>
      <w:r w:rsidR="00681332">
        <w:t>.</w:t>
      </w:r>
    </w:p>
    <w:p w14:paraId="10C6FC9F" w14:textId="0AEBEBE0" w:rsidR="0075434A" w:rsidRPr="00B068A2" w:rsidRDefault="00681332" w:rsidP="002A472B">
      <w:pPr>
        <w:pStyle w:val="Heading5"/>
      </w:pPr>
      <w:r>
        <w:t>Academics/universities/advocates</w:t>
      </w:r>
    </w:p>
    <w:p w14:paraId="3CD60A79" w14:textId="17C4B589" w:rsidR="0075434A" w:rsidRPr="00B068A2" w:rsidRDefault="0075434A" w:rsidP="00681332">
      <w:pPr>
        <w:pStyle w:val="ListBulletLessSpace"/>
      </w:pPr>
      <w:r w:rsidRPr="00B068A2">
        <w:t>Engagement with academic</w:t>
      </w:r>
      <w:r>
        <w:t>s</w:t>
      </w:r>
      <w:r w:rsidRPr="00B068A2">
        <w:t xml:space="preserve"> is essential to encourage more research indicative of support to LGBTI rights</w:t>
      </w:r>
      <w:r w:rsidR="00681332">
        <w:t>.</w:t>
      </w:r>
    </w:p>
    <w:p w14:paraId="4B724B8F" w14:textId="1A5434A1" w:rsidR="0075434A" w:rsidRPr="00B068A2" w:rsidRDefault="00681332" w:rsidP="002A472B">
      <w:pPr>
        <w:pStyle w:val="Heading5"/>
      </w:pPr>
      <w:r>
        <w:t>Advocates</w:t>
      </w:r>
    </w:p>
    <w:p w14:paraId="7AC99C11" w14:textId="56C0C33C" w:rsidR="0075434A" w:rsidRPr="00B068A2" w:rsidRDefault="0075434A" w:rsidP="00681332">
      <w:pPr>
        <w:pStyle w:val="ListBulletLessSpace"/>
      </w:pPr>
      <w:r w:rsidRPr="00B068A2">
        <w:t>More engagement with law m</w:t>
      </w:r>
      <w:r w:rsidR="00681332">
        <w:t>akers and members of parliament</w:t>
      </w:r>
    </w:p>
    <w:p w14:paraId="23752054" w14:textId="77777777" w:rsidR="0075434A" w:rsidRPr="00B068A2" w:rsidRDefault="0075434A" w:rsidP="00681332">
      <w:pPr>
        <w:pStyle w:val="ListBulletLessSpace"/>
      </w:pPr>
      <w:r w:rsidRPr="00B068A2">
        <w:t>Empowering</w:t>
      </w:r>
      <w:r>
        <w:t xml:space="preserve"> and awareness raising among</w:t>
      </w:r>
      <w:r w:rsidRPr="00B068A2">
        <w:t xml:space="preserve"> young persons and others including businesses (under the B</w:t>
      </w:r>
      <w:r>
        <w:t xml:space="preserve">usiness and </w:t>
      </w:r>
      <w:r w:rsidRPr="00B068A2">
        <w:t>H</w:t>
      </w:r>
      <w:r>
        <w:t xml:space="preserve">uman </w:t>
      </w:r>
      <w:r w:rsidRPr="00B068A2">
        <w:t>R</w:t>
      </w:r>
      <w:r>
        <w:t>ights</w:t>
      </w:r>
      <w:r w:rsidRPr="00B068A2">
        <w:t xml:space="preserve"> agenda) to understand LGBTI issues</w:t>
      </w:r>
    </w:p>
    <w:p w14:paraId="5F65FC92" w14:textId="77777777" w:rsidR="0075434A" w:rsidRPr="00B068A2" w:rsidRDefault="0075434A" w:rsidP="00681332">
      <w:pPr>
        <w:pStyle w:val="ListBulletLessSpace"/>
      </w:pPr>
      <w:r w:rsidRPr="00B068A2">
        <w:t>To engage with families which have accepted LGBTI individuals to be the catalyst of general acceptance</w:t>
      </w:r>
    </w:p>
    <w:p w14:paraId="669766DF" w14:textId="77777777" w:rsidR="0075434A" w:rsidRPr="00B068A2" w:rsidRDefault="0075434A" w:rsidP="00681332">
      <w:pPr>
        <w:pStyle w:val="ListBulletLessSpace"/>
      </w:pPr>
      <w:r w:rsidRPr="00B068A2">
        <w:t>Identify and share positive stories of how culture, religion and faith that have been supportive in the promotion of LGBTI rights.</w:t>
      </w:r>
    </w:p>
    <w:p w14:paraId="4840EFD9" w14:textId="15D79D31" w:rsidR="0075434A" w:rsidRPr="00B068A2" w:rsidRDefault="00681332" w:rsidP="002A472B">
      <w:pPr>
        <w:pStyle w:val="Heading5"/>
      </w:pPr>
      <w:r>
        <w:lastRenderedPageBreak/>
        <w:t>Religious leaders</w:t>
      </w:r>
    </w:p>
    <w:p w14:paraId="7E3E2C93" w14:textId="0BB62583" w:rsidR="0075434A" w:rsidRPr="00B068A2" w:rsidRDefault="0075434A" w:rsidP="00681332">
      <w:pPr>
        <w:pStyle w:val="ListBulletLessSpace"/>
      </w:pPr>
      <w:r w:rsidRPr="00B068A2">
        <w:t xml:space="preserve">Engaging </w:t>
      </w:r>
      <w:proofErr w:type="spellStart"/>
      <w:r w:rsidRPr="00B068A2">
        <w:t>Ulema</w:t>
      </w:r>
      <w:proofErr w:type="spellEnd"/>
      <w:r w:rsidRPr="00B068A2">
        <w:t xml:space="preserve"> and </w:t>
      </w:r>
      <w:r>
        <w:t xml:space="preserve">other </w:t>
      </w:r>
      <w:r w:rsidRPr="00B068A2">
        <w:t>religious leaders, as well as academics in developing a better understanding of the issues</w:t>
      </w:r>
      <w:r w:rsidR="00681332">
        <w:t>.</w:t>
      </w:r>
    </w:p>
    <w:p w14:paraId="7FF56880" w14:textId="0BFF067A" w:rsidR="0075434A" w:rsidRPr="00B068A2" w:rsidRDefault="00681332" w:rsidP="002A472B">
      <w:pPr>
        <w:pStyle w:val="Heading5"/>
      </w:pPr>
      <w:r>
        <w:t>Families</w:t>
      </w:r>
    </w:p>
    <w:p w14:paraId="04B705EB" w14:textId="3B04EC88" w:rsidR="0075434A" w:rsidRPr="00B068A2" w:rsidRDefault="0075434A" w:rsidP="00681332">
      <w:pPr>
        <w:pStyle w:val="ListBulletLessSpace"/>
      </w:pPr>
      <w:r w:rsidRPr="00B068A2">
        <w:t>P</w:t>
      </w:r>
      <w:r>
        <w:t xml:space="preserve">arents of people of diverse </w:t>
      </w:r>
      <w:r w:rsidRPr="00B068A2">
        <w:t>SOGIESC need to recogni</w:t>
      </w:r>
      <w:r>
        <w:t>s</w:t>
      </w:r>
      <w:r w:rsidRPr="00B068A2">
        <w:t>e and accept sexual orientation</w:t>
      </w:r>
      <w:r>
        <w:t xml:space="preserve">, </w:t>
      </w:r>
      <w:r w:rsidRPr="00B068A2">
        <w:t>gender identity</w:t>
      </w:r>
      <w:r>
        <w:t>, gender expression and sex characteristics</w:t>
      </w:r>
      <w:r w:rsidR="00681332">
        <w:t xml:space="preserve"> within the family setting.</w:t>
      </w:r>
    </w:p>
    <w:p w14:paraId="23C6DBC0" w14:textId="729C56B4" w:rsidR="0075434A" w:rsidRPr="00B068A2" w:rsidRDefault="00681332" w:rsidP="002A472B">
      <w:pPr>
        <w:pStyle w:val="Heading5"/>
      </w:pPr>
      <w:r>
        <w:t>Society</w:t>
      </w:r>
    </w:p>
    <w:p w14:paraId="1EE91A36" w14:textId="72B71C8B" w:rsidR="0075434A" w:rsidRPr="00B068A2" w:rsidRDefault="0075434A" w:rsidP="00681332">
      <w:pPr>
        <w:pStyle w:val="ListBulletLessSpace"/>
      </w:pPr>
      <w:r w:rsidRPr="00B068A2">
        <w:t>More effort is needed to address violent cultural norms and to recogn</w:t>
      </w:r>
      <w:r>
        <w:t>is</w:t>
      </w:r>
      <w:r w:rsidRPr="00B068A2">
        <w:t>e different cultures in different societal settings; Elaborate on the cultur</w:t>
      </w:r>
      <w:r>
        <w:t xml:space="preserve">al acceptance of gender diversity </w:t>
      </w:r>
      <w:r w:rsidRPr="00B068A2">
        <w:t>(e</w:t>
      </w:r>
      <w:r>
        <w:t>.</w:t>
      </w:r>
      <w:r w:rsidRPr="00B068A2">
        <w:t>g. in Samoa and other indigenous cultures)</w:t>
      </w:r>
      <w:r w:rsidR="00681332">
        <w:t>.</w:t>
      </w:r>
    </w:p>
    <w:p w14:paraId="4D281A2C" w14:textId="5D356638" w:rsidR="0075434A" w:rsidRPr="00B068A2" w:rsidRDefault="00681332" w:rsidP="002A472B">
      <w:pPr>
        <w:pStyle w:val="Heading5"/>
      </w:pPr>
      <w:r>
        <w:t>UN/regional/entities</w:t>
      </w:r>
    </w:p>
    <w:p w14:paraId="69F0247A" w14:textId="4E099AF2" w:rsidR="0075434A" w:rsidRPr="0015542A" w:rsidRDefault="0075434A" w:rsidP="00681332">
      <w:pPr>
        <w:pStyle w:val="ListBulletLessSpace"/>
      </w:pPr>
      <w:r w:rsidRPr="00B068A2">
        <w:t>To intensify initiatives to encourage regional sharing of experience and good practices (between different actors including NGOs, LGBTI movement</w:t>
      </w:r>
      <w:r>
        <w:t>s</w:t>
      </w:r>
      <w:r w:rsidRPr="00B068A2">
        <w:t xml:space="preserve">, NHRIs and Government) in problem solving on issues relating to LGBTI, through proper documentation, workshops or </w:t>
      </w:r>
      <w:r>
        <w:t xml:space="preserve">even online group discussions; </w:t>
      </w:r>
      <w:r w:rsidR="00681332">
        <w:t>Enhance regional networking.</w:t>
      </w:r>
    </w:p>
    <w:p w14:paraId="3CB44E23" w14:textId="5ACA6516" w:rsidR="0075434A" w:rsidRDefault="0075434A" w:rsidP="00FB54B4">
      <w:pPr>
        <w:pStyle w:val="Heading3"/>
      </w:pPr>
      <w:bookmarkStart w:id="67" w:name="_Toc489441322"/>
      <w:bookmarkStart w:id="68" w:name="_Toc491332775"/>
      <w:r w:rsidRPr="00B068A2">
        <w:t>Workstation 4: Violence a</w:t>
      </w:r>
      <w:r w:rsidR="00681332">
        <w:t>nd e</w:t>
      </w:r>
      <w:r w:rsidRPr="00B068A2">
        <w:t>xtremism</w:t>
      </w:r>
      <w:bookmarkEnd w:id="67"/>
      <w:bookmarkEnd w:id="68"/>
    </w:p>
    <w:p w14:paraId="6C266B2E" w14:textId="72BA1CCB" w:rsidR="0075434A" w:rsidRPr="00681332" w:rsidRDefault="0075434A" w:rsidP="00681332">
      <w:pPr>
        <w:pStyle w:val="NormalTextBox"/>
        <w:spacing w:after="120"/>
        <w:rPr>
          <w:sz w:val="20"/>
          <w:szCs w:val="20"/>
        </w:rPr>
      </w:pPr>
      <w:r w:rsidRPr="00681332">
        <w:rPr>
          <w:b/>
          <w:sz w:val="20"/>
          <w:szCs w:val="20"/>
        </w:rPr>
        <w:t>Facilitator</w:t>
      </w:r>
      <w:r w:rsidR="00681332" w:rsidRPr="00681332">
        <w:rPr>
          <w:b/>
          <w:sz w:val="20"/>
          <w:szCs w:val="20"/>
        </w:rPr>
        <w:br/>
      </w:r>
      <w:r w:rsidRPr="00681332">
        <w:rPr>
          <w:sz w:val="20"/>
          <w:szCs w:val="20"/>
        </w:rPr>
        <w:t xml:space="preserve">Dr </w:t>
      </w:r>
      <w:proofErr w:type="spellStart"/>
      <w:r w:rsidRPr="00681332">
        <w:rPr>
          <w:sz w:val="20"/>
          <w:szCs w:val="20"/>
        </w:rPr>
        <w:t>Antiicha</w:t>
      </w:r>
      <w:proofErr w:type="spellEnd"/>
      <w:r w:rsidRPr="00681332">
        <w:rPr>
          <w:sz w:val="20"/>
          <w:szCs w:val="20"/>
        </w:rPr>
        <w:t xml:space="preserve"> </w:t>
      </w:r>
      <w:proofErr w:type="spellStart"/>
      <w:r w:rsidRPr="00681332">
        <w:rPr>
          <w:sz w:val="20"/>
          <w:szCs w:val="20"/>
        </w:rPr>
        <w:t>Sangchai</w:t>
      </w:r>
      <w:proofErr w:type="spellEnd"/>
      <w:r w:rsidRPr="00681332">
        <w:rPr>
          <w:sz w:val="20"/>
          <w:szCs w:val="20"/>
        </w:rPr>
        <w:t xml:space="preserve">, </w:t>
      </w:r>
      <w:proofErr w:type="spellStart"/>
      <w:r w:rsidRPr="00681332">
        <w:rPr>
          <w:sz w:val="20"/>
          <w:szCs w:val="20"/>
        </w:rPr>
        <w:t>Buku</w:t>
      </w:r>
      <w:proofErr w:type="spellEnd"/>
      <w:r w:rsidRPr="00681332">
        <w:rPr>
          <w:sz w:val="20"/>
          <w:szCs w:val="20"/>
        </w:rPr>
        <w:t xml:space="preserve"> Books</w:t>
      </w:r>
    </w:p>
    <w:p w14:paraId="18EAB515" w14:textId="65FC5270" w:rsidR="0075434A" w:rsidRPr="00681332" w:rsidRDefault="0075434A" w:rsidP="00681332">
      <w:pPr>
        <w:pStyle w:val="NormalTextBox"/>
        <w:spacing w:before="120"/>
        <w:rPr>
          <w:sz w:val="20"/>
          <w:szCs w:val="20"/>
        </w:rPr>
      </w:pPr>
      <w:r w:rsidRPr="00681332">
        <w:rPr>
          <w:b/>
          <w:sz w:val="20"/>
          <w:szCs w:val="20"/>
        </w:rPr>
        <w:t>Rapporteur</w:t>
      </w:r>
      <w:r w:rsidR="00681332" w:rsidRPr="00681332">
        <w:rPr>
          <w:b/>
          <w:sz w:val="20"/>
          <w:szCs w:val="20"/>
        </w:rPr>
        <w:br/>
      </w:r>
      <w:proofErr w:type="spellStart"/>
      <w:r w:rsidRPr="00681332">
        <w:rPr>
          <w:sz w:val="20"/>
          <w:szCs w:val="20"/>
        </w:rPr>
        <w:t>Zahir</w:t>
      </w:r>
      <w:proofErr w:type="spellEnd"/>
      <w:r w:rsidRPr="00681332">
        <w:rPr>
          <w:sz w:val="20"/>
          <w:szCs w:val="20"/>
        </w:rPr>
        <w:t xml:space="preserve"> </w:t>
      </w:r>
      <w:proofErr w:type="spellStart"/>
      <w:r w:rsidRPr="00681332">
        <w:rPr>
          <w:sz w:val="20"/>
          <w:szCs w:val="20"/>
        </w:rPr>
        <w:t>Naderi</w:t>
      </w:r>
      <w:proofErr w:type="spellEnd"/>
      <w:r w:rsidRPr="00681332">
        <w:rPr>
          <w:sz w:val="20"/>
          <w:szCs w:val="20"/>
        </w:rPr>
        <w:t>, NHRI Afghanistan</w:t>
      </w:r>
    </w:p>
    <w:p w14:paraId="7F31935C" w14:textId="65AC3EEE" w:rsidR="0075434A" w:rsidRPr="00B068A2" w:rsidRDefault="0075434A" w:rsidP="007D3A32">
      <w:pPr>
        <w:pStyle w:val="Heading4"/>
        <w:rPr>
          <w:lang w:val="en-GB"/>
        </w:rPr>
      </w:pPr>
      <w:r w:rsidRPr="00B068A2">
        <w:rPr>
          <w:lang w:val="en-GB"/>
        </w:rPr>
        <w:t xml:space="preserve">Question 1: Gaps in </w:t>
      </w:r>
      <w:r>
        <w:rPr>
          <w:lang w:val="en-GB"/>
        </w:rPr>
        <w:t xml:space="preserve">the </w:t>
      </w:r>
      <w:r w:rsidRPr="000A2DA2">
        <w:rPr>
          <w:lang w:val="en-GB"/>
        </w:rPr>
        <w:t>Yogyakarta Principles</w:t>
      </w:r>
      <w:r w:rsidRPr="00B068A2">
        <w:rPr>
          <w:lang w:val="en-GB"/>
        </w:rPr>
        <w:t xml:space="preserve"> in rel</w:t>
      </w:r>
      <w:r w:rsidR="00681332">
        <w:rPr>
          <w:lang w:val="en-GB"/>
        </w:rPr>
        <w:t>ation to violence and extremism</w:t>
      </w:r>
    </w:p>
    <w:p w14:paraId="2BEF1B1F" w14:textId="77777777" w:rsidR="0075434A" w:rsidRPr="00B068A2" w:rsidRDefault="0075434A" w:rsidP="00681332">
      <w:pPr>
        <w:pStyle w:val="ListBulletLessSpace"/>
      </w:pPr>
      <w:r w:rsidRPr="00B068A2">
        <w:t xml:space="preserve">The Yogyakarta Principles do not identify and define extremism </w:t>
      </w:r>
    </w:p>
    <w:p w14:paraId="0EF040EB" w14:textId="77777777" w:rsidR="0075434A" w:rsidRPr="00B068A2" w:rsidRDefault="0075434A" w:rsidP="00681332">
      <w:pPr>
        <w:pStyle w:val="ListBulletLessSpace"/>
      </w:pPr>
      <w:r>
        <w:t>Principle</w:t>
      </w:r>
      <w:r w:rsidRPr="00B068A2">
        <w:t xml:space="preserve"> 17 does not include the impact of violence on health</w:t>
      </w:r>
    </w:p>
    <w:p w14:paraId="31F723E1" w14:textId="77777777" w:rsidR="0075434A" w:rsidRPr="00B068A2" w:rsidRDefault="0075434A" w:rsidP="00681332">
      <w:pPr>
        <w:pStyle w:val="ListBulletLessSpace"/>
      </w:pPr>
      <w:r w:rsidRPr="00B068A2">
        <w:t xml:space="preserve">In many countries, </w:t>
      </w:r>
      <w:r>
        <w:t>the Principles</w:t>
      </w:r>
      <w:r w:rsidRPr="00B068A2">
        <w:t xml:space="preserve"> </w:t>
      </w:r>
      <w:r>
        <w:t>are</w:t>
      </w:r>
      <w:r w:rsidRPr="00B068A2">
        <w:t xml:space="preserve"> considered a set of western values and cannot </w:t>
      </w:r>
      <w:r>
        <w:t xml:space="preserve">be </w:t>
      </w:r>
      <w:r w:rsidRPr="00B068A2">
        <w:t>effectively use</w:t>
      </w:r>
      <w:r>
        <w:t>d</w:t>
      </w:r>
      <w:r w:rsidRPr="00B068A2">
        <w:t xml:space="preserve"> – need to address this </w:t>
      </w:r>
    </w:p>
    <w:p w14:paraId="71284487" w14:textId="77777777" w:rsidR="0075434A" w:rsidRDefault="0075434A" w:rsidP="00681332">
      <w:pPr>
        <w:pStyle w:val="ListBulletLessSpace"/>
      </w:pPr>
      <w:r w:rsidRPr="00BB6EC2">
        <w:t>Extremism plays a key role in vigilantism which combines issues of both person</w:t>
      </w:r>
      <w:r>
        <w:t>al</w:t>
      </w:r>
      <w:r w:rsidRPr="00BB6EC2">
        <w:t xml:space="preserve"> and political space </w:t>
      </w:r>
    </w:p>
    <w:p w14:paraId="30D9EE6C" w14:textId="77777777" w:rsidR="0075434A" w:rsidRPr="00B068A2" w:rsidRDefault="0075434A" w:rsidP="00681332">
      <w:pPr>
        <w:pStyle w:val="ListBulletLessSpace"/>
      </w:pPr>
      <w:r w:rsidRPr="00B068A2">
        <w:t xml:space="preserve">Extremism is not the group of people, but ideas of society like patriarchy and </w:t>
      </w:r>
      <w:r>
        <w:t xml:space="preserve">norms around </w:t>
      </w:r>
      <w:r w:rsidRPr="00B068A2">
        <w:t xml:space="preserve">masculinity – both at individual and institutional levels </w:t>
      </w:r>
    </w:p>
    <w:p w14:paraId="339C76FB" w14:textId="77777777" w:rsidR="0075434A" w:rsidRPr="00B068A2" w:rsidRDefault="0075434A" w:rsidP="00681332">
      <w:pPr>
        <w:pStyle w:val="ListBulletLessSpace"/>
      </w:pPr>
      <w:r w:rsidRPr="00B068A2">
        <w:t xml:space="preserve">Draft operational/programmatic guidance on violations of human rights by </w:t>
      </w:r>
      <w:r>
        <w:t>S</w:t>
      </w:r>
      <w:r w:rsidRPr="00B068A2">
        <w:t>tate actors and secondly by non-state actors in all levels</w:t>
      </w:r>
    </w:p>
    <w:p w14:paraId="148D5B8B" w14:textId="77777777" w:rsidR="0075434A" w:rsidRPr="00B068A2" w:rsidRDefault="0075434A" w:rsidP="00681332">
      <w:pPr>
        <w:pStyle w:val="ListBulletLessSpace"/>
      </w:pPr>
      <w:r w:rsidRPr="00B068A2">
        <w:t xml:space="preserve">Violence in a country and cross border are not fully considered </w:t>
      </w:r>
    </w:p>
    <w:p w14:paraId="0DFDAD9B" w14:textId="77777777" w:rsidR="0075434A" w:rsidRPr="00B068A2" w:rsidRDefault="0075434A" w:rsidP="00681332">
      <w:pPr>
        <w:pStyle w:val="ListBulletLessSpace"/>
      </w:pPr>
      <w:r>
        <w:t>The Principles do</w:t>
      </w:r>
      <w:r w:rsidRPr="00B068A2">
        <w:t xml:space="preserve"> not include cybercrimes/attacks on LGBTI</w:t>
      </w:r>
    </w:p>
    <w:p w14:paraId="57F9B912" w14:textId="70896FAD" w:rsidR="0075434A" w:rsidRPr="00B068A2" w:rsidRDefault="0075434A" w:rsidP="00681332">
      <w:pPr>
        <w:pStyle w:val="ListBulletLessSpace"/>
      </w:pPr>
      <w:r w:rsidRPr="00B068A2">
        <w:t>There should not be any violence towards bodily autonomy – no pressure a</w:t>
      </w:r>
      <w:r w:rsidR="00681332">
        <w:t>nd no coercion.</w:t>
      </w:r>
    </w:p>
    <w:p w14:paraId="395553B3" w14:textId="4505DE27" w:rsidR="0075434A" w:rsidRPr="00B068A2" w:rsidRDefault="002A472B" w:rsidP="002A472B">
      <w:pPr>
        <w:pStyle w:val="Heading4"/>
        <w:rPr>
          <w:lang w:val="en-GB"/>
        </w:rPr>
      </w:pPr>
      <w:r>
        <w:rPr>
          <w:lang w:val="en-GB"/>
        </w:rPr>
        <w:lastRenderedPageBreak/>
        <w:t>Question 2: R</w:t>
      </w:r>
      <w:r w:rsidR="0075434A" w:rsidRPr="00B068A2">
        <w:rPr>
          <w:lang w:val="en-GB"/>
        </w:rPr>
        <w:t>oles of specific actors</w:t>
      </w:r>
    </w:p>
    <w:p w14:paraId="1978D06C" w14:textId="5FB56D13" w:rsidR="0075434A" w:rsidRPr="00B068A2" w:rsidRDefault="00681332" w:rsidP="002A472B">
      <w:pPr>
        <w:pStyle w:val="Heading5"/>
      </w:pPr>
      <w:r>
        <w:t>States</w:t>
      </w:r>
    </w:p>
    <w:p w14:paraId="4AE08345" w14:textId="77777777" w:rsidR="0075434A" w:rsidRPr="00B068A2" w:rsidRDefault="0075434A" w:rsidP="00681332">
      <w:pPr>
        <w:pStyle w:val="ListBulletLessSpace"/>
      </w:pPr>
      <w:r w:rsidRPr="00B068A2">
        <w:t xml:space="preserve">States should identify those who have more capacity to inflict violence and address these concerns </w:t>
      </w:r>
    </w:p>
    <w:p w14:paraId="2218C536" w14:textId="77777777" w:rsidR="0075434A" w:rsidRPr="00B068A2" w:rsidRDefault="0075434A" w:rsidP="00681332">
      <w:pPr>
        <w:pStyle w:val="ListBulletLessSpace"/>
      </w:pPr>
      <w:r w:rsidRPr="00B068A2">
        <w:t xml:space="preserve">Applying </w:t>
      </w:r>
      <w:r>
        <w:t>Principles</w:t>
      </w:r>
      <w:r w:rsidRPr="00B068A2">
        <w:t xml:space="preserve"> in the national education policy</w:t>
      </w:r>
    </w:p>
    <w:p w14:paraId="2B52659C" w14:textId="4E266E48" w:rsidR="0075434A" w:rsidRPr="00B068A2" w:rsidRDefault="0075434A" w:rsidP="00681332">
      <w:pPr>
        <w:pStyle w:val="ListBulletLessSpace"/>
      </w:pPr>
      <w:r w:rsidRPr="00B068A2">
        <w:t>Understanding violence and extremism in broader context as strategy to educate society about the violence and discrimination of LGBTI rights</w:t>
      </w:r>
      <w:r w:rsidR="00681332">
        <w:t>.</w:t>
      </w:r>
    </w:p>
    <w:p w14:paraId="0A531BD6" w14:textId="6C756BEB" w:rsidR="0075434A" w:rsidRPr="00B068A2" w:rsidRDefault="00681332" w:rsidP="002A472B">
      <w:pPr>
        <w:pStyle w:val="Heading5"/>
      </w:pPr>
      <w:r>
        <w:t>NHRIs/judiciary</w:t>
      </w:r>
    </w:p>
    <w:p w14:paraId="315F91D2" w14:textId="77777777" w:rsidR="0075434A" w:rsidRPr="00B068A2" w:rsidRDefault="0075434A" w:rsidP="00681332">
      <w:pPr>
        <w:pStyle w:val="ListBulletLessSpace"/>
      </w:pPr>
      <w:r w:rsidRPr="00B068A2">
        <w:t xml:space="preserve">Effectiveness of NHRIs and the judiciary must be enhanced in the implementation of the </w:t>
      </w:r>
      <w:r>
        <w:t>Principles</w:t>
      </w:r>
      <w:r w:rsidRPr="00B068A2">
        <w:t xml:space="preserve"> and other human rights standards </w:t>
      </w:r>
    </w:p>
    <w:p w14:paraId="3A69FE28" w14:textId="77777777" w:rsidR="0075434A" w:rsidRPr="00B068A2" w:rsidRDefault="0075434A" w:rsidP="00681332">
      <w:pPr>
        <w:pStyle w:val="ListBulletLessSpace"/>
      </w:pPr>
      <w:r w:rsidRPr="00B068A2">
        <w:t>NHRIs and CSOs must do awareness raising programmes for the families with respect to the rights of LGBTI</w:t>
      </w:r>
      <w:r>
        <w:t xml:space="preserve"> people</w:t>
      </w:r>
    </w:p>
    <w:p w14:paraId="0F480858" w14:textId="6FBA17C5" w:rsidR="0075434A" w:rsidRPr="00B068A2" w:rsidRDefault="0075434A" w:rsidP="00681332">
      <w:pPr>
        <w:pStyle w:val="ListBulletLessSpace"/>
      </w:pPr>
      <w:r w:rsidRPr="00B068A2">
        <w:t>Proper guidelines must be provided to police and other security forces for the protection and respect for LGBTI</w:t>
      </w:r>
      <w:r>
        <w:t xml:space="preserve"> people</w:t>
      </w:r>
      <w:r w:rsidRPr="00B068A2">
        <w:t xml:space="preserve">, by NHRIs as per the </w:t>
      </w:r>
      <w:r>
        <w:t>Principles</w:t>
      </w:r>
      <w:r w:rsidR="00681332">
        <w:t>.</w:t>
      </w:r>
    </w:p>
    <w:p w14:paraId="72E3EC9B" w14:textId="0CB14B7E" w:rsidR="0075434A" w:rsidRPr="00B068A2" w:rsidRDefault="00681332" w:rsidP="002A472B">
      <w:pPr>
        <w:pStyle w:val="Heading5"/>
      </w:pPr>
      <w:r>
        <w:t>Advocates</w:t>
      </w:r>
    </w:p>
    <w:p w14:paraId="2CF8EFD8" w14:textId="77777777" w:rsidR="0075434A" w:rsidRPr="00B068A2" w:rsidRDefault="0075434A" w:rsidP="00681332">
      <w:pPr>
        <w:pStyle w:val="ListBulletLessSpace"/>
      </w:pPr>
      <w:r w:rsidRPr="00B068A2">
        <w:t xml:space="preserve">To identify the roles of state actors for the protection of victims, remedies and response </w:t>
      </w:r>
    </w:p>
    <w:p w14:paraId="6515FCEB" w14:textId="77777777" w:rsidR="0075434A" w:rsidRPr="00B068A2" w:rsidRDefault="0075434A" w:rsidP="00681332">
      <w:pPr>
        <w:pStyle w:val="ListBulletLessSpace"/>
      </w:pPr>
      <w:r w:rsidRPr="00B068A2">
        <w:t>Participation and implementation of all levels of stakeholders in all mechanisms in order to change the situation on the ground</w:t>
      </w:r>
    </w:p>
    <w:p w14:paraId="1794C034" w14:textId="77777777" w:rsidR="0075434A" w:rsidRPr="00B068A2" w:rsidRDefault="0075434A" w:rsidP="00681332">
      <w:pPr>
        <w:pStyle w:val="ListBulletLessSpace"/>
      </w:pPr>
      <w:r w:rsidRPr="00B068A2">
        <w:t xml:space="preserve">Commitment and accountability of stakeholders for security of LGBTI </w:t>
      </w:r>
      <w:r>
        <w:t xml:space="preserve">people </w:t>
      </w:r>
      <w:r w:rsidRPr="00B068A2">
        <w:t>within human rights standards</w:t>
      </w:r>
    </w:p>
    <w:p w14:paraId="409E55E5" w14:textId="08A9D17B" w:rsidR="0075434A" w:rsidRPr="00B068A2" w:rsidRDefault="0075434A" w:rsidP="00681332">
      <w:pPr>
        <w:pStyle w:val="ListBulletLessSpace"/>
      </w:pPr>
      <w:r w:rsidRPr="00B068A2">
        <w:t>Dialogue among the LGBTI communit</w:t>
      </w:r>
      <w:r>
        <w:t>ies</w:t>
      </w:r>
      <w:r w:rsidRPr="00B068A2">
        <w:t xml:space="preserve"> on human rights</w:t>
      </w:r>
      <w:r w:rsidR="00681332">
        <w:t>.</w:t>
      </w:r>
    </w:p>
    <w:p w14:paraId="069ECC5A" w14:textId="3072252C" w:rsidR="0075434A" w:rsidRPr="00B068A2" w:rsidRDefault="00681332" w:rsidP="002A472B">
      <w:pPr>
        <w:pStyle w:val="Heading5"/>
      </w:pPr>
      <w:r>
        <w:t>Academics</w:t>
      </w:r>
    </w:p>
    <w:p w14:paraId="1512431C" w14:textId="77777777" w:rsidR="0075434A" w:rsidRPr="00B068A2" w:rsidRDefault="0075434A" w:rsidP="00681332">
      <w:pPr>
        <w:pStyle w:val="ListBulletLessSpace"/>
      </w:pPr>
      <w:r w:rsidRPr="00B068A2">
        <w:t xml:space="preserve">Researchers, intellectuals for promotion of </w:t>
      </w:r>
      <w:r>
        <w:t>the Principles</w:t>
      </w:r>
    </w:p>
    <w:p w14:paraId="78A5354D" w14:textId="2608C95A" w:rsidR="0075434A" w:rsidRPr="00B068A2" w:rsidRDefault="0075434A" w:rsidP="00681332">
      <w:pPr>
        <w:pStyle w:val="ListBulletLessSpace"/>
      </w:pPr>
      <w:r w:rsidRPr="00B068A2">
        <w:t>Academic institutions must generate evidence and promote dialogue on LGBTI</w:t>
      </w:r>
      <w:r>
        <w:t xml:space="preserve"> issues</w:t>
      </w:r>
      <w:r w:rsidR="00681332">
        <w:t>.</w:t>
      </w:r>
    </w:p>
    <w:p w14:paraId="543D2FED" w14:textId="272CC8B8" w:rsidR="0075434A" w:rsidRPr="00B068A2" w:rsidRDefault="00681332" w:rsidP="002A472B">
      <w:pPr>
        <w:pStyle w:val="Heading5"/>
      </w:pPr>
      <w:r>
        <w:t>Families</w:t>
      </w:r>
    </w:p>
    <w:p w14:paraId="4A64670C" w14:textId="77777777" w:rsidR="0075434A" w:rsidRPr="00B068A2" w:rsidRDefault="0075434A" w:rsidP="00681332">
      <w:pPr>
        <w:pStyle w:val="ListBulletLessSpace"/>
      </w:pPr>
      <w:r w:rsidRPr="00B068A2">
        <w:t xml:space="preserve">Families must stop violence and discrimination at first stage towards LGBTI </w:t>
      </w:r>
      <w:r>
        <w:t xml:space="preserve">people </w:t>
      </w:r>
      <w:r w:rsidRPr="00B068A2">
        <w:t>within the family</w:t>
      </w:r>
    </w:p>
    <w:p w14:paraId="08D209EF" w14:textId="30C20A3B" w:rsidR="0075434A" w:rsidRPr="00B068A2" w:rsidRDefault="0075434A" w:rsidP="00681332">
      <w:pPr>
        <w:pStyle w:val="ListBulletLessSpace"/>
      </w:pPr>
      <w:r w:rsidRPr="00B068A2">
        <w:t xml:space="preserve">Families must provide emotional support to LGBTI </w:t>
      </w:r>
      <w:r>
        <w:t xml:space="preserve">people and </w:t>
      </w:r>
      <w:r w:rsidRPr="00B068A2">
        <w:t>groups</w:t>
      </w:r>
      <w:r w:rsidR="00681332">
        <w:t>.</w:t>
      </w:r>
    </w:p>
    <w:p w14:paraId="64D59585" w14:textId="7F1A587F" w:rsidR="0075434A" w:rsidRPr="00B068A2" w:rsidRDefault="00681332" w:rsidP="002A472B">
      <w:pPr>
        <w:pStyle w:val="Heading5"/>
      </w:pPr>
      <w:r>
        <w:t>Private sector</w:t>
      </w:r>
    </w:p>
    <w:p w14:paraId="70D605ED" w14:textId="77777777" w:rsidR="0075434A" w:rsidRPr="00B068A2" w:rsidRDefault="0075434A" w:rsidP="00681332">
      <w:pPr>
        <w:pStyle w:val="ListBulletLessSpace"/>
      </w:pPr>
      <w:r w:rsidRPr="00B068A2">
        <w:t>Private sector and business corporations must provide equal job opportunities for LGBTI</w:t>
      </w:r>
      <w:r>
        <w:t xml:space="preserve"> people</w:t>
      </w:r>
    </w:p>
    <w:p w14:paraId="0161FB73" w14:textId="4F581809" w:rsidR="0075434A" w:rsidRPr="00B068A2" w:rsidRDefault="00681332" w:rsidP="002A472B">
      <w:pPr>
        <w:pStyle w:val="Heading5"/>
      </w:pPr>
      <w:r>
        <w:t>UN/i</w:t>
      </w:r>
      <w:r w:rsidR="0075434A" w:rsidRPr="00B068A2">
        <w:t>nternational organ</w:t>
      </w:r>
      <w:r w:rsidR="0075434A">
        <w:t>is</w:t>
      </w:r>
      <w:r>
        <w:t>ations</w:t>
      </w:r>
    </w:p>
    <w:p w14:paraId="26F816FD" w14:textId="77777777" w:rsidR="0075434A" w:rsidRPr="00B068A2" w:rsidRDefault="0075434A" w:rsidP="00681332">
      <w:pPr>
        <w:pStyle w:val="ListBulletLessSpace"/>
      </w:pPr>
      <w:r w:rsidRPr="00B068A2">
        <w:t>International organ</w:t>
      </w:r>
      <w:r>
        <w:t>is</w:t>
      </w:r>
      <w:r w:rsidRPr="00B068A2">
        <w:t>ations can assist states to define and fight extremism</w:t>
      </w:r>
    </w:p>
    <w:p w14:paraId="1696A1D5" w14:textId="77777777" w:rsidR="0075434A" w:rsidRPr="00B068A2" w:rsidRDefault="0075434A" w:rsidP="00681332">
      <w:pPr>
        <w:pStyle w:val="ListBulletLessSpace"/>
      </w:pPr>
      <w:r w:rsidRPr="00B068A2">
        <w:t>UN must pressur</w:t>
      </w:r>
      <w:r>
        <w:t>is</w:t>
      </w:r>
      <w:r w:rsidRPr="00B068A2">
        <w:t xml:space="preserve">e states within the right parameters for implementing </w:t>
      </w:r>
      <w:r>
        <w:t>the Principles</w:t>
      </w:r>
    </w:p>
    <w:p w14:paraId="2BCB3705" w14:textId="77777777" w:rsidR="0075434A" w:rsidRPr="00B068A2" w:rsidRDefault="0075434A" w:rsidP="00681332">
      <w:pPr>
        <w:pStyle w:val="ListBulletLessSpace"/>
      </w:pPr>
      <w:r w:rsidRPr="00B068A2">
        <w:t>Dialogue among LGBTI</w:t>
      </w:r>
      <w:r>
        <w:t xml:space="preserve"> people and groups</w:t>
      </w:r>
      <w:r w:rsidRPr="00B068A2">
        <w:t xml:space="preserve"> for their rights and capacity building, resources and security </w:t>
      </w:r>
    </w:p>
    <w:p w14:paraId="2E0A735A" w14:textId="77777777" w:rsidR="0075434A" w:rsidRPr="00B068A2" w:rsidRDefault="0075434A" w:rsidP="00681332">
      <w:pPr>
        <w:pStyle w:val="ListBulletLessSpace"/>
      </w:pPr>
      <w:r w:rsidRPr="00B068A2">
        <w:lastRenderedPageBreak/>
        <w:t xml:space="preserve">UN must engage with CSOs for the promotion of </w:t>
      </w:r>
      <w:r>
        <w:t>the Principles</w:t>
      </w:r>
      <w:r w:rsidRPr="00B068A2">
        <w:t xml:space="preserve"> and human rights standards for the protection of LGBTI groups</w:t>
      </w:r>
    </w:p>
    <w:p w14:paraId="61F80C30" w14:textId="4974F3A3" w:rsidR="0075434A" w:rsidRPr="00B068A2" w:rsidRDefault="0075434A" w:rsidP="00681332">
      <w:pPr>
        <w:pStyle w:val="ListBulletLessSpace"/>
      </w:pPr>
      <w:r w:rsidRPr="00B068A2">
        <w:t>UN must lobby for states to ratify international conventions protecting LGBTI</w:t>
      </w:r>
      <w:r>
        <w:t xml:space="preserve"> people</w:t>
      </w:r>
      <w:r w:rsidRPr="00B068A2">
        <w:t xml:space="preserve"> and start working </w:t>
      </w:r>
      <w:r>
        <w:t xml:space="preserve">to </w:t>
      </w:r>
      <w:r w:rsidRPr="00B068A2">
        <w:t>convert</w:t>
      </w:r>
      <w:r>
        <w:t xml:space="preserve"> the</w:t>
      </w:r>
      <w:r w:rsidRPr="00B068A2">
        <w:t xml:space="preserve"> </w:t>
      </w:r>
      <w:r>
        <w:t>Principles</w:t>
      </w:r>
      <w:r w:rsidRPr="00B068A2">
        <w:t xml:space="preserve"> into</w:t>
      </w:r>
      <w:r>
        <w:t xml:space="preserve"> a legally binding</w:t>
      </w:r>
      <w:r w:rsidRPr="00B068A2">
        <w:t xml:space="preserve"> international convention</w:t>
      </w:r>
      <w:r>
        <w:t xml:space="preserve"> or at the very</w:t>
      </w:r>
      <w:r w:rsidRPr="00B068A2">
        <w:t xml:space="preserve">, least introduce a </w:t>
      </w:r>
      <w:r w:rsidRPr="00756A49">
        <w:t>Yogyakarta Principles</w:t>
      </w:r>
      <w:r>
        <w:t xml:space="preserve"> </w:t>
      </w:r>
      <w:r w:rsidRPr="00B068A2">
        <w:t>index</w:t>
      </w:r>
      <w:r w:rsidR="00681332">
        <w:t>.</w:t>
      </w:r>
    </w:p>
    <w:p w14:paraId="7BCE38C7" w14:textId="4A8B8D60" w:rsidR="0075434A" w:rsidRDefault="00681332" w:rsidP="00FB54B4">
      <w:pPr>
        <w:pStyle w:val="Heading3"/>
      </w:pPr>
      <w:bookmarkStart w:id="69" w:name="_Toc489441323"/>
      <w:bookmarkStart w:id="70" w:name="_Toc491332776"/>
      <w:r>
        <w:t>Workstation 5: Legal p</w:t>
      </w:r>
      <w:r w:rsidR="0075434A" w:rsidRPr="00B068A2">
        <w:t>rotection</w:t>
      </w:r>
      <w:bookmarkEnd w:id="69"/>
      <w:bookmarkEnd w:id="70"/>
    </w:p>
    <w:p w14:paraId="5590D9AB" w14:textId="77777777" w:rsidR="00681332" w:rsidRPr="00681332" w:rsidRDefault="0075434A" w:rsidP="00681332">
      <w:pPr>
        <w:pStyle w:val="NormalTextBox"/>
        <w:spacing w:after="120"/>
        <w:rPr>
          <w:sz w:val="20"/>
          <w:szCs w:val="20"/>
        </w:rPr>
      </w:pPr>
      <w:r w:rsidRPr="00681332">
        <w:rPr>
          <w:b/>
          <w:sz w:val="20"/>
          <w:szCs w:val="20"/>
        </w:rPr>
        <w:t>Facilitator</w:t>
      </w:r>
      <w:r w:rsidR="00681332" w:rsidRPr="00681332">
        <w:rPr>
          <w:b/>
          <w:sz w:val="20"/>
          <w:szCs w:val="20"/>
        </w:rPr>
        <w:br/>
      </w:r>
      <w:r w:rsidRPr="00681332">
        <w:rPr>
          <w:sz w:val="20"/>
          <w:szCs w:val="20"/>
        </w:rPr>
        <w:t xml:space="preserve">Henry </w:t>
      </w:r>
      <w:proofErr w:type="spellStart"/>
      <w:r w:rsidRPr="00681332">
        <w:rPr>
          <w:sz w:val="20"/>
          <w:szCs w:val="20"/>
        </w:rPr>
        <w:t>Koh</w:t>
      </w:r>
      <w:proofErr w:type="spellEnd"/>
      <w:r w:rsidRPr="00681332">
        <w:rPr>
          <w:sz w:val="20"/>
          <w:szCs w:val="20"/>
        </w:rPr>
        <w:t>, Fortify Rights</w:t>
      </w:r>
    </w:p>
    <w:p w14:paraId="0DAF6368" w14:textId="44475D93" w:rsidR="0075434A" w:rsidRPr="00681332" w:rsidRDefault="0075434A" w:rsidP="00681332">
      <w:pPr>
        <w:pStyle w:val="NormalTextBox"/>
        <w:spacing w:before="120"/>
        <w:rPr>
          <w:sz w:val="20"/>
          <w:szCs w:val="20"/>
        </w:rPr>
      </w:pPr>
      <w:r w:rsidRPr="00681332">
        <w:rPr>
          <w:b/>
          <w:sz w:val="20"/>
          <w:szCs w:val="20"/>
        </w:rPr>
        <w:t>Rapporteur</w:t>
      </w:r>
      <w:r w:rsidR="00681332" w:rsidRPr="00681332">
        <w:rPr>
          <w:b/>
          <w:sz w:val="20"/>
          <w:szCs w:val="20"/>
        </w:rPr>
        <w:br/>
      </w:r>
      <w:r w:rsidRPr="00681332">
        <w:rPr>
          <w:sz w:val="20"/>
          <w:szCs w:val="20"/>
        </w:rPr>
        <w:t xml:space="preserve">Ed </w:t>
      </w:r>
      <w:proofErr w:type="spellStart"/>
      <w:r w:rsidRPr="00681332">
        <w:rPr>
          <w:sz w:val="20"/>
          <w:szCs w:val="20"/>
        </w:rPr>
        <w:t>Santow</w:t>
      </w:r>
      <w:proofErr w:type="spellEnd"/>
      <w:r w:rsidRPr="00681332">
        <w:rPr>
          <w:sz w:val="20"/>
          <w:szCs w:val="20"/>
        </w:rPr>
        <w:t>, NHRI Australia</w:t>
      </w:r>
    </w:p>
    <w:p w14:paraId="1C8544AE" w14:textId="77777777" w:rsidR="0075434A" w:rsidRPr="00B068A2" w:rsidRDefault="0075434A" w:rsidP="002A472B">
      <w:pPr>
        <w:pStyle w:val="Heading4"/>
        <w:rPr>
          <w:lang w:val="en-GB"/>
        </w:rPr>
      </w:pPr>
      <w:r w:rsidRPr="00B068A2">
        <w:rPr>
          <w:lang w:val="en-GB"/>
        </w:rPr>
        <w:t>Question 1: Gaps in in the Yogyakarta Principles in relation to legal protection</w:t>
      </w:r>
    </w:p>
    <w:p w14:paraId="3FA88E05" w14:textId="77777777" w:rsidR="0075434A" w:rsidRPr="00B068A2" w:rsidRDefault="0075434A" w:rsidP="00681332">
      <w:pPr>
        <w:pStyle w:val="ListBulletLessSpace"/>
        <w:rPr>
          <w:lang w:val="en-GB"/>
        </w:rPr>
      </w:pPr>
      <w:r w:rsidRPr="00B068A2">
        <w:rPr>
          <w:lang w:val="en-GB"/>
        </w:rPr>
        <w:t xml:space="preserve">Legal enforceability and recognition of the Yogyakarta Principles by courts, UPR process, etc. </w:t>
      </w:r>
    </w:p>
    <w:p w14:paraId="405D223E" w14:textId="77777777" w:rsidR="0075434A" w:rsidRPr="00B068A2" w:rsidRDefault="0075434A" w:rsidP="00681332">
      <w:pPr>
        <w:pStyle w:val="ListBulletLessSpace"/>
        <w:rPr>
          <w:lang w:val="en-GB"/>
        </w:rPr>
      </w:pPr>
      <w:r w:rsidRPr="00B068A2">
        <w:rPr>
          <w:lang w:val="en-GB"/>
        </w:rPr>
        <w:t xml:space="preserve">Increasing accountability of stakeholders is not fully covered </w:t>
      </w:r>
    </w:p>
    <w:p w14:paraId="4FF788DA" w14:textId="32D65532" w:rsidR="0075434A" w:rsidRPr="00B068A2" w:rsidRDefault="0075434A" w:rsidP="00681332">
      <w:pPr>
        <w:pStyle w:val="ListBulletLessSpace"/>
        <w:rPr>
          <w:lang w:val="en-GB"/>
        </w:rPr>
      </w:pPr>
      <w:r w:rsidRPr="00B068A2">
        <w:rPr>
          <w:lang w:val="en-GB"/>
        </w:rPr>
        <w:t xml:space="preserve">Monitoring compliance by states with </w:t>
      </w:r>
      <w:r>
        <w:rPr>
          <w:lang w:val="en-GB"/>
        </w:rPr>
        <w:t xml:space="preserve">the </w:t>
      </w:r>
      <w:r>
        <w:t>Principles</w:t>
      </w:r>
      <w:r w:rsidRPr="00B068A2">
        <w:rPr>
          <w:lang w:val="en-GB"/>
        </w:rPr>
        <w:t xml:space="preserve"> </w:t>
      </w:r>
      <w:r w:rsidR="00F3764F">
        <w:rPr>
          <w:lang w:val="en-GB"/>
        </w:rPr>
        <w:t>–</w:t>
      </w:r>
      <w:r w:rsidRPr="00B068A2">
        <w:rPr>
          <w:lang w:val="en-GB"/>
        </w:rPr>
        <w:t xml:space="preserve"> Indexing jurisdictions need to be incorporated </w:t>
      </w:r>
    </w:p>
    <w:p w14:paraId="6649F559" w14:textId="77777777" w:rsidR="0075434A" w:rsidRPr="00B068A2" w:rsidRDefault="0075434A" w:rsidP="00681332">
      <w:pPr>
        <w:pStyle w:val="ListBulletLessSpace"/>
        <w:rPr>
          <w:lang w:val="en-GB"/>
        </w:rPr>
      </w:pPr>
      <w:r w:rsidRPr="00B068A2">
        <w:rPr>
          <w:lang w:val="en-GB"/>
        </w:rPr>
        <w:t xml:space="preserve">Establishing a more explicit link to domestic law – identify gaps in domestic law and follow through in areas where there is lack of consistency </w:t>
      </w:r>
    </w:p>
    <w:p w14:paraId="3E565596" w14:textId="77777777" w:rsidR="0075434A" w:rsidRPr="00B068A2" w:rsidRDefault="0075434A" w:rsidP="00681332">
      <w:pPr>
        <w:pStyle w:val="ListBulletLessSpace"/>
        <w:rPr>
          <w:lang w:val="en-GB"/>
        </w:rPr>
      </w:pPr>
      <w:r w:rsidRPr="00B068A2">
        <w:rPr>
          <w:lang w:val="en-GB"/>
        </w:rPr>
        <w:t xml:space="preserve">Could the </w:t>
      </w:r>
      <w:r>
        <w:t>Principles</w:t>
      </w:r>
      <w:r w:rsidRPr="00B068A2">
        <w:rPr>
          <w:lang w:val="en-GB"/>
        </w:rPr>
        <w:t xml:space="preserve"> be a step towards a convention – intermediate steps could include a declaration? </w:t>
      </w:r>
    </w:p>
    <w:p w14:paraId="111E37CF" w14:textId="77777777" w:rsidR="0075434A" w:rsidRPr="00B068A2" w:rsidRDefault="0075434A" w:rsidP="00681332">
      <w:pPr>
        <w:pStyle w:val="ListBulletLessSpace"/>
        <w:rPr>
          <w:lang w:val="en-GB"/>
        </w:rPr>
      </w:pPr>
      <w:r w:rsidRPr="00B068A2">
        <w:rPr>
          <w:lang w:val="en-GB"/>
        </w:rPr>
        <w:t xml:space="preserve">There is no linking to SDGs (Note: </w:t>
      </w:r>
      <w:r>
        <w:rPr>
          <w:lang w:val="en-GB"/>
        </w:rPr>
        <w:t xml:space="preserve">The </w:t>
      </w:r>
      <w:r>
        <w:t>Principles</w:t>
      </w:r>
      <w:r w:rsidRPr="00B068A2">
        <w:rPr>
          <w:lang w:val="en-GB"/>
        </w:rPr>
        <w:t xml:space="preserve"> predate</w:t>
      </w:r>
      <w:r>
        <w:rPr>
          <w:lang w:val="en-GB"/>
        </w:rPr>
        <w:t xml:space="preserve"> the </w:t>
      </w:r>
      <w:r w:rsidRPr="00B068A2">
        <w:rPr>
          <w:lang w:val="en-GB"/>
        </w:rPr>
        <w:t>SDGs)</w:t>
      </w:r>
    </w:p>
    <w:p w14:paraId="4F4FAB48" w14:textId="77777777" w:rsidR="0075434A" w:rsidRPr="00B068A2" w:rsidRDefault="0075434A" w:rsidP="00681332">
      <w:pPr>
        <w:pStyle w:val="ListBulletLessSpace"/>
        <w:rPr>
          <w:lang w:val="en-GB"/>
        </w:rPr>
      </w:pPr>
      <w:r w:rsidRPr="00B068A2">
        <w:rPr>
          <w:lang w:val="en-GB"/>
        </w:rPr>
        <w:t xml:space="preserve">Normative protection – absence of a specific </w:t>
      </w:r>
      <w:r>
        <w:rPr>
          <w:lang w:val="en-GB"/>
        </w:rPr>
        <w:t>SOGIESC</w:t>
      </w:r>
      <w:r w:rsidRPr="00B068A2">
        <w:rPr>
          <w:lang w:val="en-GB"/>
        </w:rPr>
        <w:t>/LGBTI rights treaty (in the long term)</w:t>
      </w:r>
    </w:p>
    <w:p w14:paraId="3E6AD401" w14:textId="77777777" w:rsidR="0075434A" w:rsidRPr="00B068A2" w:rsidRDefault="0075434A" w:rsidP="00681332">
      <w:pPr>
        <w:pStyle w:val="ListBulletLessSpace"/>
        <w:rPr>
          <w:lang w:val="en-GB"/>
        </w:rPr>
      </w:pPr>
      <w:r w:rsidRPr="00B068A2">
        <w:rPr>
          <w:lang w:val="en-GB"/>
        </w:rPr>
        <w:t xml:space="preserve">Addressing the issue of states selectively complying with the </w:t>
      </w:r>
      <w:r>
        <w:t>Principles</w:t>
      </w:r>
    </w:p>
    <w:p w14:paraId="235404F4" w14:textId="77777777" w:rsidR="0075434A" w:rsidRPr="00B068A2" w:rsidRDefault="0075434A" w:rsidP="00681332">
      <w:pPr>
        <w:pStyle w:val="ListBulletLessSpace"/>
        <w:rPr>
          <w:lang w:val="en-GB"/>
        </w:rPr>
      </w:pPr>
      <w:r w:rsidRPr="00B068A2">
        <w:rPr>
          <w:lang w:val="en-GB"/>
        </w:rPr>
        <w:t xml:space="preserve">Absence of the positive freedom to engage in private/ consensual adult sexual activity </w:t>
      </w:r>
    </w:p>
    <w:p w14:paraId="694ECF44" w14:textId="77777777" w:rsidR="0075434A" w:rsidRPr="00B068A2" w:rsidRDefault="0075434A" w:rsidP="00681332">
      <w:pPr>
        <w:pStyle w:val="ListBulletLessSpace"/>
        <w:rPr>
          <w:lang w:val="en-GB"/>
        </w:rPr>
      </w:pPr>
      <w:r w:rsidRPr="00B068A2">
        <w:rPr>
          <w:lang w:val="en-GB"/>
        </w:rPr>
        <w:t>Homophobia is still pervasive and presents a barrier to progress</w:t>
      </w:r>
    </w:p>
    <w:p w14:paraId="0F72609D" w14:textId="77777777" w:rsidR="0075434A" w:rsidRPr="00B068A2" w:rsidRDefault="0075434A" w:rsidP="00681332">
      <w:pPr>
        <w:pStyle w:val="ListBulletLessSpace"/>
        <w:rPr>
          <w:lang w:val="en-GB"/>
        </w:rPr>
      </w:pPr>
      <w:r w:rsidRPr="00B068A2">
        <w:rPr>
          <w:lang w:val="en-GB"/>
        </w:rPr>
        <w:t xml:space="preserve">There is the need to develop a comprehensive roadmap towards a convention </w:t>
      </w:r>
    </w:p>
    <w:p w14:paraId="31F112A5" w14:textId="77777777" w:rsidR="0075434A" w:rsidRPr="00B068A2" w:rsidRDefault="0075434A" w:rsidP="00681332">
      <w:pPr>
        <w:pStyle w:val="ListBulletLessSpace"/>
        <w:rPr>
          <w:lang w:val="en-GB"/>
        </w:rPr>
      </w:pPr>
      <w:r w:rsidRPr="00B068A2">
        <w:rPr>
          <w:lang w:val="en-GB"/>
        </w:rPr>
        <w:t xml:space="preserve">The groups identified three themes in terms of the gaps of legal protection in the </w:t>
      </w:r>
      <w:r>
        <w:t>Principles</w:t>
      </w:r>
      <w:r w:rsidRPr="00B068A2">
        <w:rPr>
          <w:lang w:val="en-GB"/>
        </w:rPr>
        <w:t>:</w:t>
      </w:r>
    </w:p>
    <w:p w14:paraId="086512D8" w14:textId="77777777" w:rsidR="0075434A" w:rsidRPr="00B068A2" w:rsidRDefault="0075434A" w:rsidP="002A472B">
      <w:pPr>
        <w:pStyle w:val="ListBullet2"/>
        <w:rPr>
          <w:lang w:val="en-GB"/>
        </w:rPr>
      </w:pPr>
      <w:r w:rsidRPr="00B068A2">
        <w:rPr>
          <w:b/>
          <w:bCs/>
          <w:lang w:val="en-GB"/>
        </w:rPr>
        <w:t>Procedural gaps:</w:t>
      </w:r>
      <w:r w:rsidRPr="00B068A2">
        <w:rPr>
          <w:lang w:val="en-GB"/>
        </w:rPr>
        <w:t xml:space="preserve"> In particular, concern was expressed about the lack of legal enforceability of the </w:t>
      </w:r>
      <w:r>
        <w:t>Principles</w:t>
      </w:r>
      <w:r w:rsidRPr="00B068A2">
        <w:rPr>
          <w:lang w:val="en-GB"/>
        </w:rPr>
        <w:t xml:space="preserve">. A potential mitigation of this problem would be to develop a sophisticated means of monitoring states’ compliance with the </w:t>
      </w:r>
      <w:r>
        <w:t>Principles</w:t>
      </w:r>
      <w:r w:rsidRPr="00B068A2">
        <w:rPr>
          <w:lang w:val="en-GB"/>
        </w:rPr>
        <w:t xml:space="preserve">, and reporting and even indexing states’ relative success in complying with the </w:t>
      </w:r>
      <w:r>
        <w:t>Principle</w:t>
      </w:r>
      <w:r w:rsidRPr="00B068A2">
        <w:rPr>
          <w:lang w:val="en-GB"/>
        </w:rPr>
        <w:t>.</w:t>
      </w:r>
    </w:p>
    <w:p w14:paraId="2890A636" w14:textId="77777777" w:rsidR="0075434A" w:rsidRPr="00B068A2" w:rsidRDefault="0075434A" w:rsidP="002A472B">
      <w:pPr>
        <w:pStyle w:val="ListBullet2"/>
        <w:rPr>
          <w:lang w:val="en-GB"/>
        </w:rPr>
      </w:pPr>
      <w:r w:rsidRPr="00B068A2">
        <w:rPr>
          <w:b/>
          <w:bCs/>
          <w:lang w:val="en-GB"/>
        </w:rPr>
        <w:t>Substantive gaps:</w:t>
      </w:r>
      <w:r w:rsidRPr="00B068A2">
        <w:rPr>
          <w:lang w:val="en-GB"/>
        </w:rPr>
        <w:t xml:space="preserve"> Certain LGBTI groups were not fully covered by the </w:t>
      </w:r>
      <w:r>
        <w:t>Principles</w:t>
      </w:r>
      <w:r w:rsidRPr="00B068A2">
        <w:rPr>
          <w:lang w:val="en-GB"/>
        </w:rPr>
        <w:t xml:space="preserve"> – e</w:t>
      </w:r>
      <w:r>
        <w:rPr>
          <w:lang w:val="en-GB"/>
        </w:rPr>
        <w:t>.</w:t>
      </w:r>
      <w:r w:rsidRPr="00B068A2">
        <w:rPr>
          <w:lang w:val="en-GB"/>
        </w:rPr>
        <w:t>g</w:t>
      </w:r>
      <w:r>
        <w:rPr>
          <w:lang w:val="en-GB"/>
        </w:rPr>
        <w:t>.</w:t>
      </w:r>
      <w:r w:rsidRPr="00B068A2">
        <w:rPr>
          <w:lang w:val="en-GB"/>
        </w:rPr>
        <w:t xml:space="preserve"> LGBTI youth, intersex people and asylum seekers. Certain issues are not fully covered by the </w:t>
      </w:r>
      <w:r>
        <w:t>Principles</w:t>
      </w:r>
      <w:r w:rsidRPr="00B068A2">
        <w:rPr>
          <w:lang w:val="en-GB"/>
        </w:rPr>
        <w:t xml:space="preserve"> – e</w:t>
      </w:r>
      <w:r>
        <w:rPr>
          <w:lang w:val="en-GB"/>
        </w:rPr>
        <w:t>.</w:t>
      </w:r>
      <w:r w:rsidRPr="00B068A2">
        <w:rPr>
          <w:lang w:val="en-GB"/>
        </w:rPr>
        <w:t>g</w:t>
      </w:r>
      <w:r>
        <w:rPr>
          <w:lang w:val="en-GB"/>
        </w:rPr>
        <w:t>.</w:t>
      </w:r>
      <w:r w:rsidRPr="00B068A2">
        <w:rPr>
          <w:lang w:val="en-GB"/>
        </w:rPr>
        <w:t xml:space="preserve"> freedom of association (especially in the context of requirements on CSOs to register with the government and restrictions on receiving foreign funding), as well as freedom of expression. There was some discussion about the </w:t>
      </w:r>
      <w:r>
        <w:t>Principles</w:t>
      </w:r>
      <w:r w:rsidRPr="00B068A2">
        <w:rPr>
          <w:lang w:val="en-GB"/>
        </w:rPr>
        <w:t xml:space="preserve"> providing negative legal protection – a suggestion was to include a positive freedom to engage in private, consensual adult sexual activity. Moreover, intersex, sex characteristics, intersectional and compound </w:t>
      </w:r>
      <w:r w:rsidRPr="00B068A2">
        <w:rPr>
          <w:lang w:val="en-GB"/>
        </w:rPr>
        <w:lastRenderedPageBreak/>
        <w:t>discrimination, freedom of association, registration, access to foreign funding, Freedom of expression and interest, LGBTI youth, asylum seekers are not covered</w:t>
      </w:r>
    </w:p>
    <w:p w14:paraId="504532DE" w14:textId="07A99F6B" w:rsidR="0075434A" w:rsidRPr="00B068A2" w:rsidRDefault="0075434A" w:rsidP="002A472B">
      <w:pPr>
        <w:pStyle w:val="ListBullet2"/>
        <w:rPr>
          <w:lang w:val="en-GB"/>
        </w:rPr>
      </w:pPr>
      <w:r w:rsidRPr="00B068A2">
        <w:rPr>
          <w:b/>
          <w:bCs/>
          <w:lang w:val="en-GB"/>
        </w:rPr>
        <w:t>Performance gaps:</w:t>
      </w:r>
      <w:r w:rsidRPr="00B068A2">
        <w:rPr>
          <w:lang w:val="en-GB"/>
        </w:rPr>
        <w:t xml:space="preserve"> between how the law as it appears and how it applies in reality</w:t>
      </w:r>
      <w:r w:rsidR="00681332">
        <w:rPr>
          <w:lang w:val="en-GB"/>
        </w:rPr>
        <w:t>.</w:t>
      </w:r>
    </w:p>
    <w:p w14:paraId="09BD52E8" w14:textId="77777777" w:rsidR="0075434A" w:rsidRPr="00B068A2" w:rsidRDefault="0075434A" w:rsidP="00681332">
      <w:pPr>
        <w:pStyle w:val="ListBulletLessSpace"/>
        <w:rPr>
          <w:lang w:val="en-GB"/>
        </w:rPr>
      </w:pPr>
      <w:r w:rsidRPr="00B068A2">
        <w:rPr>
          <w:lang w:val="en-GB"/>
        </w:rPr>
        <w:t xml:space="preserve">It was noted that the </w:t>
      </w:r>
      <w:r>
        <w:t>Principles</w:t>
      </w:r>
      <w:r w:rsidRPr="00B068A2">
        <w:rPr>
          <w:lang w:val="en-GB"/>
        </w:rPr>
        <w:t xml:space="preserve"> presents a pragmatic response to the absence of a dedicated LGBTI/</w:t>
      </w:r>
      <w:r>
        <w:rPr>
          <w:lang w:val="en-GB"/>
        </w:rPr>
        <w:t>SOGIESC</w:t>
      </w:r>
      <w:r w:rsidRPr="00B068A2">
        <w:rPr>
          <w:lang w:val="en-GB"/>
        </w:rPr>
        <w:t xml:space="preserve"> international human rights convention. It was suggested that the </w:t>
      </w:r>
      <w:r>
        <w:t>Principles</w:t>
      </w:r>
      <w:r w:rsidRPr="00B068A2">
        <w:rPr>
          <w:lang w:val="en-GB"/>
        </w:rPr>
        <w:t xml:space="preserve"> could provide a more explicit pathway to the end goal of a convention.</w:t>
      </w:r>
    </w:p>
    <w:p w14:paraId="20753ED3" w14:textId="19CF3650" w:rsidR="0075434A" w:rsidRPr="00B068A2" w:rsidRDefault="00681332" w:rsidP="002A472B">
      <w:pPr>
        <w:pStyle w:val="Heading4"/>
        <w:rPr>
          <w:lang w:val="en-GB"/>
        </w:rPr>
      </w:pPr>
      <w:r>
        <w:rPr>
          <w:lang w:val="en-GB"/>
        </w:rPr>
        <w:t>Question 2: R</w:t>
      </w:r>
      <w:r w:rsidR="0075434A" w:rsidRPr="00B068A2">
        <w:rPr>
          <w:lang w:val="en-GB"/>
        </w:rPr>
        <w:t>oles of specific actors</w:t>
      </w:r>
    </w:p>
    <w:p w14:paraId="4CF7DA3A" w14:textId="35E696F7" w:rsidR="0075434A" w:rsidRPr="002A472B" w:rsidRDefault="00B94205" w:rsidP="002A472B">
      <w:pPr>
        <w:pStyle w:val="Heading5"/>
      </w:pPr>
      <w:r>
        <w:t>States</w:t>
      </w:r>
    </w:p>
    <w:p w14:paraId="5B7BB80A" w14:textId="77777777" w:rsidR="0075434A" w:rsidRPr="00B068A2" w:rsidRDefault="0075434A" w:rsidP="00B94205">
      <w:pPr>
        <w:pStyle w:val="ListBulletLessSpace"/>
        <w:rPr>
          <w:lang w:val="en-GB"/>
        </w:rPr>
      </w:pPr>
      <w:r w:rsidRPr="00B068A2">
        <w:rPr>
          <w:lang w:val="en-GB"/>
        </w:rPr>
        <w:t xml:space="preserve">Legislative, the executive, the parties, religious leaders need to know the </w:t>
      </w:r>
      <w:r>
        <w:t>Principles</w:t>
      </w:r>
      <w:r w:rsidRPr="00B068A2">
        <w:rPr>
          <w:lang w:val="en-GB"/>
        </w:rPr>
        <w:t xml:space="preserve">: Being creative to deploy the </w:t>
      </w:r>
      <w:r>
        <w:t>Principles</w:t>
      </w:r>
      <w:r w:rsidRPr="00B068A2">
        <w:rPr>
          <w:lang w:val="en-GB"/>
        </w:rPr>
        <w:t xml:space="preserve"> such as opposition to violence, discrimination and forms of engagement on human rights</w:t>
      </w:r>
    </w:p>
    <w:p w14:paraId="345030B9" w14:textId="12E6E9B2" w:rsidR="0075434A" w:rsidRPr="00B068A2" w:rsidRDefault="0075434A" w:rsidP="00B94205">
      <w:pPr>
        <w:pStyle w:val="ListBulletLessSpace"/>
        <w:rPr>
          <w:lang w:val="en-GB"/>
        </w:rPr>
      </w:pPr>
      <w:r w:rsidRPr="00B068A2">
        <w:rPr>
          <w:lang w:val="en-GB"/>
        </w:rPr>
        <w:t>National statistical bureaus ensure that relevant st</w:t>
      </w:r>
      <w:r w:rsidR="00B94205">
        <w:rPr>
          <w:lang w:val="en-GB"/>
        </w:rPr>
        <w:t>atistics and data are collected.</w:t>
      </w:r>
    </w:p>
    <w:p w14:paraId="14D896F9" w14:textId="5B310936" w:rsidR="0075434A" w:rsidRPr="00B068A2" w:rsidRDefault="00B94205" w:rsidP="002A472B">
      <w:pPr>
        <w:pStyle w:val="Heading5"/>
      </w:pPr>
      <w:r>
        <w:t>Judiciary</w:t>
      </w:r>
    </w:p>
    <w:p w14:paraId="542498EF" w14:textId="3FA0037E" w:rsidR="0075434A" w:rsidRPr="00B068A2" w:rsidRDefault="0075434A" w:rsidP="00B94205">
      <w:pPr>
        <w:pStyle w:val="ListBulletLessSpace"/>
        <w:rPr>
          <w:lang w:val="en-GB"/>
        </w:rPr>
      </w:pPr>
      <w:r w:rsidRPr="00B068A2">
        <w:rPr>
          <w:lang w:val="en-GB"/>
        </w:rPr>
        <w:t>Internal</w:t>
      </w:r>
      <w:r>
        <w:rPr>
          <w:lang w:val="en-GB"/>
        </w:rPr>
        <w:t>is</w:t>
      </w:r>
      <w:r w:rsidRPr="00B068A2">
        <w:rPr>
          <w:lang w:val="en-GB"/>
        </w:rPr>
        <w:t xml:space="preserve">ing and domesticating </w:t>
      </w:r>
      <w:r>
        <w:rPr>
          <w:lang w:val="en-GB"/>
        </w:rPr>
        <w:t xml:space="preserve">the </w:t>
      </w:r>
      <w:r>
        <w:t>Principles</w:t>
      </w:r>
      <w:r w:rsidRPr="00B068A2">
        <w:rPr>
          <w:lang w:val="en-GB"/>
        </w:rPr>
        <w:t xml:space="preserve"> into the state’s laws – referring to </w:t>
      </w:r>
      <w:r>
        <w:rPr>
          <w:lang w:val="en-GB"/>
        </w:rPr>
        <w:t xml:space="preserve">the </w:t>
      </w:r>
      <w:r w:rsidRPr="00B068A2">
        <w:rPr>
          <w:lang w:val="en-GB"/>
        </w:rPr>
        <w:t>UDHR</w:t>
      </w:r>
      <w:r w:rsidR="00B94205">
        <w:rPr>
          <w:lang w:val="en-GB"/>
        </w:rPr>
        <w:t>.</w:t>
      </w:r>
    </w:p>
    <w:p w14:paraId="352E00F6" w14:textId="018588D9" w:rsidR="0075434A" w:rsidRPr="00B068A2" w:rsidRDefault="00B94205" w:rsidP="002A472B">
      <w:pPr>
        <w:pStyle w:val="Heading5"/>
      </w:pPr>
      <w:r>
        <w:t>Academics</w:t>
      </w:r>
    </w:p>
    <w:p w14:paraId="40E7AB85" w14:textId="77777777" w:rsidR="0075434A" w:rsidRPr="00B068A2" w:rsidRDefault="0075434A" w:rsidP="00B94205">
      <w:pPr>
        <w:pStyle w:val="ListBulletLessSpace"/>
        <w:rPr>
          <w:lang w:val="en-GB"/>
        </w:rPr>
      </w:pPr>
      <w:r w:rsidRPr="00B068A2">
        <w:rPr>
          <w:lang w:val="en-GB"/>
        </w:rPr>
        <w:t xml:space="preserve">Address the lack of ownership of the </w:t>
      </w:r>
      <w:r>
        <w:t>Principles</w:t>
      </w:r>
      <w:r w:rsidRPr="00B068A2">
        <w:rPr>
          <w:lang w:val="en-GB"/>
        </w:rPr>
        <w:t xml:space="preserve"> – linking it to the principles of universality </w:t>
      </w:r>
    </w:p>
    <w:p w14:paraId="12ABD21B" w14:textId="7ADF8D6C" w:rsidR="0075434A" w:rsidRPr="00B068A2" w:rsidRDefault="0075434A" w:rsidP="00B94205">
      <w:pPr>
        <w:pStyle w:val="ListBulletLessSpace"/>
        <w:rPr>
          <w:lang w:val="en-GB"/>
        </w:rPr>
      </w:pPr>
      <w:r w:rsidRPr="00B068A2">
        <w:rPr>
          <w:lang w:val="en-GB"/>
        </w:rPr>
        <w:t xml:space="preserve">Better strategic engagement was needed on LGBTI issues, especially where these raise particularly sensitive issues. One way of doing this is by addressing the </w:t>
      </w:r>
      <w:r>
        <w:t>Principles</w:t>
      </w:r>
      <w:r w:rsidRPr="00B068A2">
        <w:rPr>
          <w:lang w:val="en-GB"/>
        </w:rPr>
        <w:t xml:space="preserve"> through less controversial subjects, such as countering violence and extremism</w:t>
      </w:r>
      <w:r w:rsidR="00B94205">
        <w:rPr>
          <w:lang w:val="en-GB"/>
        </w:rPr>
        <w:t>.</w:t>
      </w:r>
    </w:p>
    <w:p w14:paraId="1C035802" w14:textId="01648CFF" w:rsidR="0075434A" w:rsidRPr="00B068A2" w:rsidRDefault="0075434A" w:rsidP="002A472B">
      <w:pPr>
        <w:pStyle w:val="Heading5"/>
      </w:pPr>
      <w:r w:rsidRPr="00B068A2">
        <w:t>Advocat</w:t>
      </w:r>
      <w:r w:rsidR="00B94205">
        <w:t>es</w:t>
      </w:r>
    </w:p>
    <w:p w14:paraId="4753F667" w14:textId="77777777" w:rsidR="0075434A" w:rsidRPr="00B068A2" w:rsidRDefault="0075434A" w:rsidP="00B94205">
      <w:pPr>
        <w:pStyle w:val="ListBulletLessSpace"/>
        <w:rPr>
          <w:lang w:val="en-GB"/>
        </w:rPr>
      </w:pPr>
      <w:r w:rsidRPr="00B068A2">
        <w:rPr>
          <w:lang w:val="en-GB"/>
        </w:rPr>
        <w:t>Using the currency of SDGs more effectively</w:t>
      </w:r>
    </w:p>
    <w:p w14:paraId="7B20B7AA" w14:textId="77777777" w:rsidR="0075434A" w:rsidRPr="00B068A2" w:rsidRDefault="0075434A" w:rsidP="00B94205">
      <w:pPr>
        <w:pStyle w:val="ListBulletLessSpace"/>
        <w:rPr>
          <w:lang w:val="en-GB"/>
        </w:rPr>
      </w:pPr>
      <w:r w:rsidRPr="00B068A2">
        <w:rPr>
          <w:lang w:val="en-GB"/>
        </w:rPr>
        <w:t>Strategic engagement with the media</w:t>
      </w:r>
    </w:p>
    <w:p w14:paraId="3132E454" w14:textId="77777777" w:rsidR="0075434A" w:rsidRPr="00B068A2" w:rsidRDefault="0075434A" w:rsidP="00B94205">
      <w:pPr>
        <w:pStyle w:val="ListBulletLessSpace"/>
        <w:rPr>
          <w:lang w:val="en-GB"/>
        </w:rPr>
      </w:pPr>
      <w:r w:rsidRPr="00B068A2">
        <w:rPr>
          <w:lang w:val="en-GB"/>
        </w:rPr>
        <w:t>Tap into informal civil society networks and platforms</w:t>
      </w:r>
    </w:p>
    <w:p w14:paraId="086E2FD4" w14:textId="77777777" w:rsidR="0075434A" w:rsidRPr="00B068A2" w:rsidRDefault="0075434A" w:rsidP="00B94205">
      <w:pPr>
        <w:pStyle w:val="ListBulletLessSpace"/>
        <w:rPr>
          <w:lang w:val="en-GB"/>
        </w:rPr>
      </w:pPr>
      <w:r w:rsidRPr="00B068A2">
        <w:rPr>
          <w:lang w:val="en-GB"/>
        </w:rPr>
        <w:t>Political engagement at the national and international levels. Being strategic to engage in domestic and international law</w:t>
      </w:r>
    </w:p>
    <w:p w14:paraId="062D8C2B" w14:textId="0981CE35" w:rsidR="0075434A" w:rsidRPr="00B068A2" w:rsidRDefault="0075434A" w:rsidP="00B94205">
      <w:pPr>
        <w:pStyle w:val="ListBulletLessSpace"/>
        <w:rPr>
          <w:lang w:val="en-GB"/>
        </w:rPr>
      </w:pPr>
      <w:r w:rsidRPr="00B068A2">
        <w:rPr>
          <w:lang w:val="en-GB"/>
        </w:rPr>
        <w:t xml:space="preserve">Lobbying governments to ensure that </w:t>
      </w:r>
      <w:r>
        <w:rPr>
          <w:lang w:val="en-GB"/>
        </w:rPr>
        <w:t xml:space="preserve">the </w:t>
      </w:r>
      <w:r>
        <w:t>Principles</w:t>
      </w:r>
      <w:r w:rsidRPr="00B068A2">
        <w:rPr>
          <w:lang w:val="en-GB"/>
        </w:rPr>
        <w:t xml:space="preserve"> </w:t>
      </w:r>
      <w:r>
        <w:rPr>
          <w:lang w:val="en-GB"/>
        </w:rPr>
        <w:t>are</w:t>
      </w:r>
      <w:r w:rsidRPr="00B068A2">
        <w:rPr>
          <w:lang w:val="en-GB"/>
        </w:rPr>
        <w:t xml:space="preserve"> given expression in domestic/state laws – e.g. definition of sex /gender</w:t>
      </w:r>
      <w:r w:rsidR="00B94205">
        <w:rPr>
          <w:lang w:val="en-GB"/>
        </w:rPr>
        <w:t>.</w:t>
      </w:r>
    </w:p>
    <w:p w14:paraId="390ED1D2" w14:textId="02543A57" w:rsidR="0075434A" w:rsidRPr="00B068A2" w:rsidRDefault="00B94205" w:rsidP="002A472B">
      <w:pPr>
        <w:pStyle w:val="Heading5"/>
      </w:pPr>
      <w:r>
        <w:t>NHRIs</w:t>
      </w:r>
    </w:p>
    <w:p w14:paraId="089436E4" w14:textId="77777777" w:rsidR="0075434A" w:rsidRPr="00B068A2" w:rsidRDefault="0075434A" w:rsidP="00B94205">
      <w:pPr>
        <w:pStyle w:val="ListBulletLessSpace"/>
        <w:rPr>
          <w:lang w:val="en-GB"/>
        </w:rPr>
      </w:pPr>
      <w:r w:rsidRPr="00B068A2">
        <w:rPr>
          <w:lang w:val="en-GB"/>
        </w:rPr>
        <w:t xml:space="preserve">Education, research and regional network among institutions </w:t>
      </w:r>
    </w:p>
    <w:p w14:paraId="390A74E3" w14:textId="744ED440" w:rsidR="0075434A" w:rsidRPr="00B068A2" w:rsidRDefault="0075434A" w:rsidP="00B94205">
      <w:pPr>
        <w:pStyle w:val="ListBulletLessSpace"/>
        <w:rPr>
          <w:lang w:val="en-GB"/>
        </w:rPr>
      </w:pPr>
      <w:r w:rsidRPr="00B068A2">
        <w:rPr>
          <w:lang w:val="en-GB"/>
        </w:rPr>
        <w:t xml:space="preserve">To ‘translate’ the </w:t>
      </w:r>
      <w:r>
        <w:t>Principles</w:t>
      </w:r>
      <w:r w:rsidRPr="00B068A2">
        <w:rPr>
          <w:lang w:val="en-GB"/>
        </w:rPr>
        <w:t xml:space="preserve"> into specific local contexts</w:t>
      </w:r>
      <w:r w:rsidR="00B94205">
        <w:rPr>
          <w:lang w:val="en-GB"/>
        </w:rPr>
        <w:t>.</w:t>
      </w:r>
    </w:p>
    <w:p w14:paraId="7A45950C" w14:textId="36E7DABD" w:rsidR="0075434A" w:rsidRPr="00B068A2" w:rsidRDefault="00B94205" w:rsidP="002A472B">
      <w:pPr>
        <w:pStyle w:val="Heading5"/>
      </w:pPr>
      <w:r>
        <w:t>Community o</w:t>
      </w:r>
      <w:r w:rsidR="0075434A" w:rsidRPr="00B068A2">
        <w:t>rgan</w:t>
      </w:r>
      <w:r w:rsidR="0075434A">
        <w:t>is</w:t>
      </w:r>
      <w:r>
        <w:t>ations</w:t>
      </w:r>
    </w:p>
    <w:p w14:paraId="5A73E2EC" w14:textId="77777777" w:rsidR="0075434A" w:rsidRPr="00B068A2" w:rsidRDefault="0075434A" w:rsidP="00B94205">
      <w:pPr>
        <w:pStyle w:val="ListBulletLessSpace"/>
        <w:rPr>
          <w:lang w:val="en-GB"/>
        </w:rPr>
      </w:pPr>
      <w:r w:rsidRPr="00B068A2">
        <w:rPr>
          <w:lang w:val="en-GB"/>
        </w:rPr>
        <w:t xml:space="preserve">CSOs expressly referring to </w:t>
      </w:r>
      <w:r>
        <w:rPr>
          <w:lang w:val="en-GB"/>
        </w:rPr>
        <w:t xml:space="preserve">the </w:t>
      </w:r>
      <w:r>
        <w:t>Principle</w:t>
      </w:r>
      <w:r w:rsidRPr="00B068A2">
        <w:rPr>
          <w:lang w:val="en-GB"/>
        </w:rPr>
        <w:t xml:space="preserve"> in the UPR shadow reports</w:t>
      </w:r>
    </w:p>
    <w:p w14:paraId="2AD5516D" w14:textId="2BAA7D2D" w:rsidR="0075434A" w:rsidRPr="00B068A2" w:rsidRDefault="0075434A" w:rsidP="00B94205">
      <w:pPr>
        <w:pStyle w:val="ListBulletLessSpace"/>
        <w:rPr>
          <w:lang w:val="en-GB"/>
        </w:rPr>
      </w:pPr>
      <w:r w:rsidRPr="00B068A2">
        <w:rPr>
          <w:lang w:val="en-GB"/>
        </w:rPr>
        <w:t xml:space="preserve">Including LGBTI rights on the formal agenda </w:t>
      </w:r>
      <w:r w:rsidR="00F3764F">
        <w:rPr>
          <w:lang w:val="en-GB"/>
        </w:rPr>
        <w:t>–</w:t>
      </w:r>
      <w:r w:rsidRPr="00B068A2">
        <w:rPr>
          <w:lang w:val="en-GB"/>
        </w:rPr>
        <w:t xml:space="preserve"> indirectly e.g. violence and extremism</w:t>
      </w:r>
      <w:r w:rsidR="00B94205">
        <w:rPr>
          <w:lang w:val="en-GB"/>
        </w:rPr>
        <w:t>.</w:t>
      </w:r>
    </w:p>
    <w:p w14:paraId="53AB4C82" w14:textId="0129623D" w:rsidR="0075434A" w:rsidRPr="00B068A2" w:rsidRDefault="0075434A" w:rsidP="002A472B">
      <w:pPr>
        <w:pStyle w:val="Heading5"/>
      </w:pPr>
      <w:r w:rsidRPr="00B068A2">
        <w:lastRenderedPageBreak/>
        <w:t>Service</w:t>
      </w:r>
      <w:r w:rsidR="00B94205">
        <w:t xml:space="preserve"> providers (e.g. health sector)</w:t>
      </w:r>
    </w:p>
    <w:p w14:paraId="6DA30B10" w14:textId="24434733" w:rsidR="0075434A" w:rsidRPr="00B068A2" w:rsidRDefault="0075434A" w:rsidP="00B94205">
      <w:pPr>
        <w:pStyle w:val="ListBulletLessSpace"/>
        <w:rPr>
          <w:lang w:val="en-GB"/>
        </w:rPr>
      </w:pPr>
      <w:r w:rsidRPr="00B068A2">
        <w:rPr>
          <w:lang w:val="en-GB"/>
        </w:rPr>
        <w:t>Sexual minority mem</w:t>
      </w:r>
      <w:r w:rsidR="00B94205">
        <w:rPr>
          <w:lang w:val="en-GB"/>
        </w:rPr>
        <w:t>bers and their lived experience.</w:t>
      </w:r>
    </w:p>
    <w:p w14:paraId="60DDE85B" w14:textId="144E6892" w:rsidR="0075434A" w:rsidRPr="00B068A2" w:rsidRDefault="00B94205" w:rsidP="002A472B">
      <w:pPr>
        <w:pStyle w:val="Heading5"/>
      </w:pPr>
      <w:r>
        <w:t>UN agencies</w:t>
      </w:r>
    </w:p>
    <w:p w14:paraId="3C27CF2A" w14:textId="088C5CC3" w:rsidR="0075434A" w:rsidRPr="00B068A2" w:rsidRDefault="0075434A" w:rsidP="00B94205">
      <w:pPr>
        <w:pStyle w:val="ListBulletLessSpace"/>
        <w:rPr>
          <w:lang w:val="en-GB"/>
        </w:rPr>
      </w:pPr>
      <w:r w:rsidRPr="00B068A2">
        <w:rPr>
          <w:lang w:val="en-GB"/>
        </w:rPr>
        <w:t>UN internal</w:t>
      </w:r>
      <w:r w:rsidR="00B94205">
        <w:rPr>
          <w:lang w:val="en-GB"/>
        </w:rPr>
        <w:t xml:space="preserve"> and external sector engagement.</w:t>
      </w:r>
    </w:p>
    <w:p w14:paraId="56B49E7B" w14:textId="2CBB2A41" w:rsidR="0075434A" w:rsidRPr="00B068A2" w:rsidRDefault="00B94205" w:rsidP="002A472B">
      <w:pPr>
        <w:pStyle w:val="Heading5"/>
      </w:pPr>
      <w:r>
        <w:t>Regional actors</w:t>
      </w:r>
    </w:p>
    <w:p w14:paraId="6A30AFDE" w14:textId="77777777" w:rsidR="0075434A" w:rsidRPr="00B068A2" w:rsidRDefault="0075434A" w:rsidP="00B94205">
      <w:pPr>
        <w:pStyle w:val="ListBulletLessSpace"/>
        <w:rPr>
          <w:lang w:val="en-GB"/>
        </w:rPr>
      </w:pPr>
      <w:r w:rsidRPr="00B068A2">
        <w:rPr>
          <w:lang w:val="en-GB"/>
        </w:rPr>
        <w:t xml:space="preserve">Address existing problems of weak regional institutions in Asia </w:t>
      </w:r>
    </w:p>
    <w:p w14:paraId="68D7DA06" w14:textId="6D8B21A4" w:rsidR="0075434A" w:rsidRPr="00B068A2" w:rsidRDefault="00B94205" w:rsidP="00B94205">
      <w:pPr>
        <w:pStyle w:val="ListBulletLessSpace"/>
        <w:rPr>
          <w:lang w:val="en-GB"/>
        </w:rPr>
      </w:pPr>
      <w:r>
        <w:rPr>
          <w:lang w:val="en-GB"/>
        </w:rPr>
        <w:t>Engagement in ASEAN networks.</w:t>
      </w:r>
    </w:p>
    <w:p w14:paraId="0359D8BE" w14:textId="6203F402" w:rsidR="0075434A" w:rsidRDefault="00B94205" w:rsidP="00FB54B4">
      <w:pPr>
        <w:pStyle w:val="Heading3"/>
      </w:pPr>
      <w:bookmarkStart w:id="71" w:name="_Toc489441324"/>
      <w:bookmarkStart w:id="72" w:name="_Toc491332777"/>
      <w:r>
        <w:t>Workstation 6: Legal o</w:t>
      </w:r>
      <w:r w:rsidR="0075434A" w:rsidRPr="00B068A2">
        <w:t>ppression</w:t>
      </w:r>
      <w:bookmarkEnd w:id="71"/>
      <w:bookmarkEnd w:id="72"/>
    </w:p>
    <w:p w14:paraId="225851A6" w14:textId="77777777" w:rsidR="00B45152" w:rsidRDefault="0075434A" w:rsidP="00B45152">
      <w:pPr>
        <w:pStyle w:val="NormalTextBox"/>
        <w:spacing w:after="120"/>
        <w:rPr>
          <w:sz w:val="20"/>
          <w:szCs w:val="20"/>
        </w:rPr>
      </w:pPr>
      <w:r w:rsidRPr="00B45152">
        <w:rPr>
          <w:b/>
          <w:sz w:val="20"/>
          <w:szCs w:val="20"/>
        </w:rPr>
        <w:t>Facilitator</w:t>
      </w:r>
      <w:r w:rsidR="00B45152" w:rsidRPr="00B45152">
        <w:rPr>
          <w:b/>
          <w:sz w:val="20"/>
          <w:szCs w:val="20"/>
        </w:rPr>
        <w:br/>
      </w:r>
      <w:r w:rsidRPr="00B45152">
        <w:rPr>
          <w:sz w:val="20"/>
          <w:szCs w:val="20"/>
        </w:rPr>
        <w:t>John Fisher, HRW</w:t>
      </w:r>
    </w:p>
    <w:p w14:paraId="3374761D" w14:textId="27EFB180" w:rsidR="0075434A" w:rsidRPr="00B45152" w:rsidRDefault="0075434A" w:rsidP="00B45152">
      <w:pPr>
        <w:pStyle w:val="NormalTextBox"/>
        <w:spacing w:before="120"/>
        <w:rPr>
          <w:sz w:val="20"/>
          <w:szCs w:val="20"/>
        </w:rPr>
      </w:pPr>
      <w:r w:rsidRPr="00B45152">
        <w:rPr>
          <w:b/>
          <w:sz w:val="20"/>
          <w:szCs w:val="20"/>
        </w:rPr>
        <w:t>Rapporteur</w:t>
      </w:r>
      <w:r w:rsidR="00B45152">
        <w:rPr>
          <w:i/>
          <w:sz w:val="20"/>
          <w:szCs w:val="20"/>
        </w:rPr>
        <w:br/>
      </w:r>
      <w:r w:rsidRPr="00B45152">
        <w:rPr>
          <w:sz w:val="20"/>
          <w:szCs w:val="20"/>
        </w:rPr>
        <w:t>Rabiul Islam, NHRI Bangladesh</w:t>
      </w:r>
    </w:p>
    <w:p w14:paraId="15E40104" w14:textId="77777777" w:rsidR="0075434A" w:rsidRPr="00B068A2" w:rsidRDefault="0075434A" w:rsidP="002A472B">
      <w:pPr>
        <w:pStyle w:val="Heading4"/>
      </w:pPr>
      <w:r w:rsidRPr="00B068A2">
        <w:t xml:space="preserve">Question 1: Gaps in the Yogyakarta Principles in relation to legal oppression </w:t>
      </w:r>
    </w:p>
    <w:p w14:paraId="6707BF0E" w14:textId="421F452C" w:rsidR="0075434A" w:rsidRPr="00B068A2" w:rsidRDefault="0075434A" w:rsidP="002A472B">
      <w:pPr>
        <w:pStyle w:val="Heading5"/>
      </w:pPr>
      <w:r w:rsidRPr="00B068A2">
        <w:t>Expanding sphere of criminal</w:t>
      </w:r>
      <w:r>
        <w:t>is</w:t>
      </w:r>
      <w:r w:rsidRPr="00B068A2">
        <w:t xml:space="preserve">ation </w:t>
      </w:r>
      <w:r>
        <w:t>in some parts of the world is alarming</w:t>
      </w:r>
      <w:r w:rsidR="00F3764F">
        <w:t xml:space="preserve">, </w:t>
      </w:r>
      <w:r w:rsidR="00B45152">
        <w:t>which includes</w:t>
      </w:r>
    </w:p>
    <w:p w14:paraId="2F397CAA" w14:textId="77777777" w:rsidR="0075434A" w:rsidRPr="00B068A2" w:rsidRDefault="0075434A" w:rsidP="00B45152">
      <w:pPr>
        <w:pStyle w:val="ListBulletLessSpace"/>
      </w:pPr>
      <w:r>
        <w:t>Restrictions on p</w:t>
      </w:r>
      <w:r w:rsidRPr="00B068A2">
        <w:t>romotion of LGBTI issues </w:t>
      </w:r>
    </w:p>
    <w:p w14:paraId="4B7053E8" w14:textId="77777777" w:rsidR="0075434A" w:rsidRPr="00B068A2" w:rsidRDefault="0075434A" w:rsidP="00B45152">
      <w:pPr>
        <w:pStyle w:val="ListBulletLessSpace"/>
      </w:pPr>
      <w:r w:rsidRPr="00B068A2">
        <w:t>Guilt by association </w:t>
      </w:r>
    </w:p>
    <w:p w14:paraId="2F4FD66E" w14:textId="0F38B475" w:rsidR="0075434A" w:rsidRPr="00B068A2" w:rsidRDefault="0075434A" w:rsidP="00B45152">
      <w:pPr>
        <w:pStyle w:val="ListBulletLessSpace"/>
      </w:pPr>
      <w:r w:rsidRPr="00B068A2">
        <w:t>Participation in same sex partnership</w:t>
      </w:r>
      <w:r w:rsidR="006F368D">
        <w:t>/</w:t>
      </w:r>
      <w:r w:rsidRPr="00B068A2">
        <w:t>celebration</w:t>
      </w:r>
    </w:p>
    <w:p w14:paraId="24E20A10" w14:textId="77777777" w:rsidR="0075434A" w:rsidRPr="00B068A2" w:rsidRDefault="0075434A" w:rsidP="00B45152">
      <w:pPr>
        <w:pStyle w:val="ListBulletLessSpace"/>
      </w:pPr>
      <w:r w:rsidRPr="00B068A2">
        <w:t>Gender expression contrary to social-legal norms</w:t>
      </w:r>
    </w:p>
    <w:p w14:paraId="0EA8C1F6" w14:textId="77777777" w:rsidR="0075434A" w:rsidRPr="00B068A2" w:rsidRDefault="0075434A" w:rsidP="00B45152">
      <w:pPr>
        <w:pStyle w:val="ListBulletLessSpace"/>
      </w:pPr>
      <w:r w:rsidRPr="00B068A2">
        <w:t>Law restricting LGBTI oppression; such as restriction of NGOs registration and funding foreign agent laws</w:t>
      </w:r>
    </w:p>
    <w:p w14:paraId="7B25AC0B" w14:textId="77777777" w:rsidR="0075434A" w:rsidRPr="00B068A2" w:rsidRDefault="0075434A" w:rsidP="00B45152">
      <w:pPr>
        <w:pStyle w:val="ListBulletLessSpace"/>
      </w:pPr>
      <w:r w:rsidRPr="00B068A2">
        <w:t>Expansion of restriction into the digital/online space </w:t>
      </w:r>
    </w:p>
    <w:p w14:paraId="6F460C3E" w14:textId="44AD8885" w:rsidR="0075434A" w:rsidRPr="0025673E" w:rsidRDefault="0075434A" w:rsidP="00B45152">
      <w:pPr>
        <w:pStyle w:val="ListBulletLessSpace"/>
      </w:pPr>
      <w:r w:rsidRPr="0025673E">
        <w:t>Expansion of exemption; for instance: Faith based exemption to non-discrimination law</w:t>
      </w:r>
      <w:r w:rsidR="00B45152">
        <w:t>.</w:t>
      </w:r>
    </w:p>
    <w:p w14:paraId="6D50963D" w14:textId="52FA7B3B" w:rsidR="0075434A" w:rsidRDefault="00B45152" w:rsidP="002A472B">
      <w:pPr>
        <w:pStyle w:val="Heading5"/>
      </w:pPr>
      <w:r>
        <w:t>Oppressive tolerance</w:t>
      </w:r>
    </w:p>
    <w:p w14:paraId="47A09BC5" w14:textId="77777777" w:rsidR="0075434A" w:rsidRPr="00B068A2" w:rsidRDefault="0075434A" w:rsidP="00B45152">
      <w:pPr>
        <w:pStyle w:val="ListBulletLessSpace"/>
      </w:pPr>
      <w:r w:rsidRPr="00B068A2">
        <w:t xml:space="preserve">Permissive laws promote stereotypes. Example: </w:t>
      </w:r>
      <w:r>
        <w:t>in r</w:t>
      </w:r>
      <w:r w:rsidRPr="00B068A2">
        <w:t>elation to criteria </w:t>
      </w:r>
      <w:r>
        <w:t>applied on refugees</w:t>
      </w:r>
      <w:r w:rsidRPr="00B068A2">
        <w:t xml:space="preserve"> </w:t>
      </w:r>
    </w:p>
    <w:p w14:paraId="7784A6E9" w14:textId="77777777" w:rsidR="0075434A" w:rsidRPr="00B068A2" w:rsidRDefault="0075434A" w:rsidP="00B45152">
      <w:pPr>
        <w:pStyle w:val="ListBulletLessSpace"/>
      </w:pPr>
      <w:r w:rsidRPr="00B068A2">
        <w:t>Brazen restriction on sexual</w:t>
      </w:r>
      <w:r>
        <w:t xml:space="preserve"> and</w:t>
      </w:r>
      <w:r w:rsidRPr="00B068A2">
        <w:t xml:space="preserve"> reproductive health </w:t>
      </w:r>
      <w:r>
        <w:t>and</w:t>
      </w:r>
      <w:r w:rsidRPr="00B068A2">
        <w:t xml:space="preserve"> rights </w:t>
      </w:r>
    </w:p>
    <w:p w14:paraId="37042A63" w14:textId="77777777" w:rsidR="0075434A" w:rsidRPr="00B068A2" w:rsidRDefault="0075434A" w:rsidP="00B45152">
      <w:pPr>
        <w:pStyle w:val="ListBulletLessSpace"/>
      </w:pPr>
      <w:r w:rsidRPr="00B068A2">
        <w:t xml:space="preserve">Stereotyped expression of </w:t>
      </w:r>
      <w:r>
        <w:t>SOGIESC</w:t>
      </w:r>
    </w:p>
    <w:p w14:paraId="35DAE79D" w14:textId="2AA397D7" w:rsidR="0075434A" w:rsidRPr="00B068A2" w:rsidRDefault="0075434A" w:rsidP="00B45152">
      <w:pPr>
        <w:pStyle w:val="ListBulletLessSpace"/>
      </w:pPr>
      <w:r w:rsidRPr="00B068A2">
        <w:t>More in-depth analysis o</w:t>
      </w:r>
      <w:r>
        <w:t>f</w:t>
      </w:r>
      <w:r w:rsidRPr="00B068A2">
        <w:t xml:space="preserve"> laws used oppress tr</w:t>
      </w:r>
      <w:r w:rsidR="00B45152">
        <w:t>ans and intersex people is needed.</w:t>
      </w:r>
    </w:p>
    <w:p w14:paraId="29F44F19" w14:textId="00DB2A77" w:rsidR="0075434A" w:rsidRDefault="00B45152" w:rsidP="002A472B">
      <w:pPr>
        <w:pStyle w:val="Heading5"/>
      </w:pPr>
      <w:r>
        <w:t>Criminality</w:t>
      </w:r>
    </w:p>
    <w:p w14:paraId="1C8B3C7D" w14:textId="77777777" w:rsidR="0075434A" w:rsidRPr="00B068A2" w:rsidRDefault="0075434A" w:rsidP="00B45152">
      <w:pPr>
        <w:pStyle w:val="ListBulletLessSpace"/>
      </w:pPr>
      <w:r w:rsidRPr="00B068A2">
        <w:t xml:space="preserve">Amendment of the penal code </w:t>
      </w:r>
      <w:r>
        <w:t>for</w:t>
      </w:r>
      <w:r w:rsidRPr="00B068A2">
        <w:t xml:space="preserve"> particular crimes in domestic law</w:t>
      </w:r>
    </w:p>
    <w:p w14:paraId="249C490D" w14:textId="77777777" w:rsidR="0075434A" w:rsidRPr="00B068A2" w:rsidRDefault="0075434A" w:rsidP="00B45152">
      <w:pPr>
        <w:pStyle w:val="ListBulletLessSpace"/>
      </w:pPr>
      <w:r w:rsidRPr="00B068A2">
        <w:t>Lack of political will in the implementation of the Principles</w:t>
      </w:r>
    </w:p>
    <w:p w14:paraId="1AAB2FB2" w14:textId="4CC79BF6" w:rsidR="0075434A" w:rsidRPr="00B068A2" w:rsidRDefault="0075434A" w:rsidP="00B45152">
      <w:pPr>
        <w:pStyle w:val="ListBulletLessSpace"/>
      </w:pPr>
      <w:r w:rsidRPr="00B068A2">
        <w:t>Foreign agent laws targeting LGBTI population in some cou</w:t>
      </w:r>
      <w:r w:rsidR="00B45152">
        <w:t>ntries.</w:t>
      </w:r>
    </w:p>
    <w:p w14:paraId="34518D71" w14:textId="101D89FA" w:rsidR="0075434A" w:rsidRPr="00D52E4F" w:rsidRDefault="00B45152" w:rsidP="002A472B">
      <w:pPr>
        <w:pStyle w:val="Heading5"/>
      </w:pPr>
      <w:r>
        <w:t>Legal restrictions</w:t>
      </w:r>
    </w:p>
    <w:p w14:paraId="37ABF05B" w14:textId="77777777" w:rsidR="0075434A" w:rsidRPr="00B068A2" w:rsidRDefault="0075434A" w:rsidP="00B45152">
      <w:pPr>
        <w:pStyle w:val="ListBulletLessSpace"/>
      </w:pPr>
      <w:r w:rsidRPr="00B068A2">
        <w:t xml:space="preserve">Laws restricting registration of LGBTI </w:t>
      </w:r>
      <w:r>
        <w:t>CSOs</w:t>
      </w:r>
      <w:r w:rsidRPr="00B068A2">
        <w:t xml:space="preserve"> as well as funding for LGBTI </w:t>
      </w:r>
      <w:r>
        <w:t>CSO</w:t>
      </w:r>
      <w:r w:rsidRPr="00B068A2">
        <w:t>s</w:t>
      </w:r>
    </w:p>
    <w:p w14:paraId="5A30B7C3" w14:textId="77777777" w:rsidR="0075434A" w:rsidRPr="00B068A2" w:rsidRDefault="0075434A" w:rsidP="00B45152">
      <w:pPr>
        <w:pStyle w:val="ListBulletLessSpace"/>
      </w:pPr>
      <w:r w:rsidRPr="00B068A2">
        <w:lastRenderedPageBreak/>
        <w:t>Lack of consistency in the application of laws and regulations</w:t>
      </w:r>
    </w:p>
    <w:p w14:paraId="1A06927A" w14:textId="77777777" w:rsidR="0075434A" w:rsidRDefault="0075434A" w:rsidP="00B45152">
      <w:pPr>
        <w:pStyle w:val="ListBulletLessSpace"/>
      </w:pPr>
      <w:r w:rsidRPr="00D52E4F">
        <w:t xml:space="preserve">Tolerance of various forms of violence and discrimination (e.g. Bans on donating blood or accessing fertility treatment </w:t>
      </w:r>
    </w:p>
    <w:p w14:paraId="092E159C" w14:textId="77777777" w:rsidR="0075434A" w:rsidRPr="00B068A2" w:rsidRDefault="0075434A" w:rsidP="00B45152">
      <w:pPr>
        <w:pStyle w:val="ListBulletLessSpace"/>
      </w:pPr>
      <w:r w:rsidRPr="00B068A2">
        <w:t>Application of refuge</w:t>
      </w:r>
      <w:r>
        <w:t>e</w:t>
      </w:r>
      <w:r w:rsidRPr="00B068A2">
        <w:t xml:space="preserve"> status for LGBTI individuals </w:t>
      </w:r>
    </w:p>
    <w:p w14:paraId="47FFB97E" w14:textId="77777777" w:rsidR="0075434A" w:rsidRDefault="0075434A" w:rsidP="00B45152">
      <w:pPr>
        <w:pStyle w:val="ListBulletLessSpace"/>
      </w:pPr>
      <w:r w:rsidRPr="00B068A2">
        <w:t>Non-recognition of sexual and reproductive rights in the Principles</w:t>
      </w:r>
    </w:p>
    <w:p w14:paraId="387BFCFA" w14:textId="7CF49DD8" w:rsidR="0075434A" w:rsidRPr="00B068A2" w:rsidRDefault="0075434A" w:rsidP="00B45152">
      <w:pPr>
        <w:pStyle w:val="ListBulletLessSpace"/>
      </w:pPr>
      <w:r w:rsidRPr="00B068A2">
        <w:t>Criminal</w:t>
      </w:r>
      <w:r>
        <w:t>is</w:t>
      </w:r>
      <w:r w:rsidRPr="00B068A2">
        <w:t>ation of sex work in many countries</w:t>
      </w:r>
      <w:r w:rsidR="00F3764F">
        <w:t xml:space="preserve"> </w:t>
      </w:r>
    </w:p>
    <w:p w14:paraId="07A4D35F" w14:textId="19E053EC" w:rsidR="0075434A" w:rsidRDefault="00B45152" w:rsidP="002A472B">
      <w:pPr>
        <w:pStyle w:val="Heading5"/>
      </w:pPr>
      <w:r>
        <w:t>Privacy and domestic violence</w:t>
      </w:r>
    </w:p>
    <w:p w14:paraId="594DA11A" w14:textId="77777777" w:rsidR="0075434A" w:rsidRPr="00B068A2" w:rsidRDefault="0075434A" w:rsidP="00B45152">
      <w:pPr>
        <w:pStyle w:val="ListBulletLessSpace"/>
      </w:pPr>
      <w:r w:rsidRPr="00B068A2">
        <w:t>Increased domestic violence and privat</w:t>
      </w:r>
      <w:r>
        <w:t>is</w:t>
      </w:r>
      <w:r w:rsidRPr="00B068A2">
        <w:t xml:space="preserve">ation of violence </w:t>
      </w:r>
    </w:p>
    <w:p w14:paraId="122A4820" w14:textId="77777777" w:rsidR="0075434A" w:rsidRPr="00B068A2" w:rsidRDefault="0075434A" w:rsidP="00B45152">
      <w:pPr>
        <w:pStyle w:val="ListBulletLessSpace"/>
      </w:pPr>
      <w:r w:rsidRPr="00B068A2">
        <w:t>Right to privacy is not sufficiently applied or observed</w:t>
      </w:r>
    </w:p>
    <w:p w14:paraId="7B1DB9C1" w14:textId="7D3F15D5" w:rsidR="0075434A" w:rsidRDefault="0075434A" w:rsidP="00B45152">
      <w:pPr>
        <w:pStyle w:val="ListBulletLessSpace"/>
      </w:pPr>
      <w:r>
        <w:t>S</w:t>
      </w:r>
      <w:r w:rsidRPr="00B068A2">
        <w:t>ocial exclusion</w:t>
      </w:r>
      <w:r>
        <w:t xml:space="preserve"> and restrictions on the p</w:t>
      </w:r>
      <w:r w:rsidR="00B45152">
        <w:t>romotion of sexuality.</w:t>
      </w:r>
    </w:p>
    <w:p w14:paraId="5E47EBAB" w14:textId="29A7B4AD" w:rsidR="0075434A" w:rsidRPr="00B068A2" w:rsidRDefault="0075434A" w:rsidP="002A472B">
      <w:pPr>
        <w:pStyle w:val="Heading4"/>
      </w:pPr>
      <w:r w:rsidRPr="00B068A2">
        <w:t xml:space="preserve">Question 2: </w:t>
      </w:r>
      <w:r w:rsidR="007E5E1D">
        <w:t>R</w:t>
      </w:r>
      <w:r w:rsidRPr="00B068A2">
        <w:t>oles of specific actors</w:t>
      </w:r>
    </w:p>
    <w:p w14:paraId="0828FAD5" w14:textId="07E42E20" w:rsidR="0075434A" w:rsidRPr="00B068A2" w:rsidRDefault="007E5E1D" w:rsidP="002A472B">
      <w:pPr>
        <w:pStyle w:val="Heading5"/>
      </w:pPr>
      <w:r>
        <w:t>Parliamentarians</w:t>
      </w:r>
    </w:p>
    <w:p w14:paraId="272B6C96" w14:textId="03725779" w:rsidR="0075434A" w:rsidRPr="00B068A2" w:rsidRDefault="0075434A" w:rsidP="007E5E1D">
      <w:pPr>
        <w:pStyle w:val="ListBulletLessSpace"/>
      </w:pPr>
      <w:r w:rsidRPr="00B068A2">
        <w:t xml:space="preserve">Repeal oppressive laws, </w:t>
      </w:r>
      <w:r>
        <w:t>s</w:t>
      </w:r>
      <w:r w:rsidRPr="00B068A2">
        <w:t>elect committee hearing report</w:t>
      </w:r>
      <w:r>
        <w:t>s</w:t>
      </w:r>
      <w:r w:rsidRPr="00B068A2">
        <w:t xml:space="preserve">, inclusion civil society, </w:t>
      </w:r>
      <w:r>
        <w:t>a</w:t>
      </w:r>
      <w:r w:rsidRPr="00B068A2">
        <w:t>llocation</w:t>
      </w:r>
      <w:r>
        <w:t xml:space="preserve"> of</w:t>
      </w:r>
      <w:r w:rsidRPr="00B068A2">
        <w:t xml:space="preserve"> m</w:t>
      </w:r>
      <w:r w:rsidR="007E5E1D">
        <w:t>ore budget for legal protection.</w:t>
      </w:r>
    </w:p>
    <w:p w14:paraId="15F9440F" w14:textId="13882620" w:rsidR="0075434A" w:rsidRPr="00B068A2" w:rsidRDefault="007E5E1D" w:rsidP="002A472B">
      <w:pPr>
        <w:pStyle w:val="Heading5"/>
      </w:pPr>
      <w:r>
        <w:t>Government agencies</w:t>
      </w:r>
    </w:p>
    <w:p w14:paraId="16B4AC53" w14:textId="77777777" w:rsidR="0075434A" w:rsidRPr="00B068A2" w:rsidRDefault="0075434A" w:rsidP="007E5E1D">
      <w:pPr>
        <w:pStyle w:val="ListBulletLessSpace"/>
      </w:pPr>
      <w:r w:rsidRPr="00B068A2">
        <w:t xml:space="preserve">Develop more comprehensive legal reforms; affirmative action for LGBTI people </w:t>
      </w:r>
    </w:p>
    <w:p w14:paraId="2C439A76" w14:textId="3E39849C" w:rsidR="0075434A" w:rsidRPr="00B068A2" w:rsidRDefault="0075434A" w:rsidP="007E5E1D">
      <w:pPr>
        <w:pStyle w:val="ListBulletLessSpace"/>
      </w:pPr>
      <w:r>
        <w:t xml:space="preserve">Law enforcement agencies </w:t>
      </w:r>
      <w:r w:rsidRPr="00B068A2">
        <w:t>should ensure respect for bodily auto</w:t>
      </w:r>
      <w:r w:rsidR="007E5E1D">
        <w:t>nomy.</w:t>
      </w:r>
    </w:p>
    <w:p w14:paraId="08EB34D5" w14:textId="2237EF28" w:rsidR="0075434A" w:rsidRPr="00B068A2" w:rsidRDefault="007E5E1D" w:rsidP="002A472B">
      <w:pPr>
        <w:pStyle w:val="Heading5"/>
      </w:pPr>
      <w:r>
        <w:t>Judiciary</w:t>
      </w:r>
    </w:p>
    <w:p w14:paraId="425683C1" w14:textId="56DE96C4" w:rsidR="0075434A" w:rsidRPr="00B068A2" w:rsidRDefault="0075434A" w:rsidP="007E5E1D">
      <w:pPr>
        <w:pStyle w:val="ListBulletLessSpace"/>
      </w:pPr>
      <w:r w:rsidRPr="00B068A2">
        <w:t>Address issues of discrimination</w:t>
      </w:r>
      <w:r w:rsidR="007E5E1D">
        <w:t>.</w:t>
      </w:r>
    </w:p>
    <w:p w14:paraId="5E0EF082" w14:textId="306B7D88" w:rsidR="0075434A" w:rsidRPr="00B068A2" w:rsidRDefault="007E5E1D" w:rsidP="002A472B">
      <w:pPr>
        <w:pStyle w:val="Heading5"/>
      </w:pPr>
      <w:r>
        <w:t>NHRIs</w:t>
      </w:r>
    </w:p>
    <w:p w14:paraId="7E2DA44F" w14:textId="07AA15C9" w:rsidR="0075434A" w:rsidRPr="00B068A2" w:rsidRDefault="0075434A" w:rsidP="007E5E1D">
      <w:pPr>
        <w:pStyle w:val="ListBulletLessSpace"/>
      </w:pPr>
      <w:r w:rsidRPr="00B068A2">
        <w:t>Awareness raising program</w:t>
      </w:r>
      <w:r>
        <w:t>me</w:t>
      </w:r>
      <w:r w:rsidRPr="00B068A2">
        <w:t xml:space="preserve"> for state actors, conducting research, advocating for legal reformation, advocating for UPR, SDGs &amp; other H</w:t>
      </w:r>
      <w:r>
        <w:t xml:space="preserve">uman </w:t>
      </w:r>
      <w:r w:rsidRPr="00B068A2">
        <w:t>R</w:t>
      </w:r>
      <w:r>
        <w:t xml:space="preserve">ights mechanisms, </w:t>
      </w:r>
      <w:r w:rsidR="007E5E1D">
        <w:t>supporting legal proceedings.</w:t>
      </w:r>
    </w:p>
    <w:p w14:paraId="403110B4" w14:textId="17DF8A0D" w:rsidR="0075434A" w:rsidRPr="00B068A2" w:rsidRDefault="0075434A" w:rsidP="002A472B">
      <w:pPr>
        <w:pStyle w:val="Heading5"/>
      </w:pPr>
      <w:r w:rsidRPr="00B068A2">
        <w:t xml:space="preserve">Service </w:t>
      </w:r>
      <w:r w:rsidR="007E5E1D">
        <w:t>providers</w:t>
      </w:r>
    </w:p>
    <w:p w14:paraId="355AA15B" w14:textId="54D0C353" w:rsidR="0075434A" w:rsidRPr="00B068A2" w:rsidRDefault="007E5E1D" w:rsidP="007E5E1D">
      <w:pPr>
        <w:pStyle w:val="ListBulletLessSpace"/>
      </w:pPr>
      <w:r>
        <w:t>Lawyers, d</w:t>
      </w:r>
      <w:r w:rsidR="0075434A" w:rsidRPr="00B068A2">
        <w:t xml:space="preserve">octors </w:t>
      </w:r>
      <w:r w:rsidR="0075434A">
        <w:t>and other service providers</w:t>
      </w:r>
      <w:r w:rsidR="0075434A" w:rsidRPr="00B068A2">
        <w:t xml:space="preserve">: addressing third gender or other </w:t>
      </w:r>
      <w:r w:rsidR="0075434A">
        <w:t>f</w:t>
      </w:r>
      <w:r w:rsidR="002A472B">
        <w:t>orms of gender diversity</w:t>
      </w:r>
      <w:r>
        <w:t>.</w:t>
      </w:r>
    </w:p>
    <w:p w14:paraId="4FA5EDEE" w14:textId="69B69AD5" w:rsidR="0075434A" w:rsidRPr="00B068A2" w:rsidRDefault="007E5E1D" w:rsidP="002A472B">
      <w:pPr>
        <w:pStyle w:val="Heading5"/>
      </w:pPr>
      <w:r>
        <w:t>Professional associations</w:t>
      </w:r>
    </w:p>
    <w:p w14:paraId="2BA5AEAF" w14:textId="1D5EBA4B" w:rsidR="0075434A" w:rsidRPr="00B068A2" w:rsidRDefault="0075434A" w:rsidP="007E5E1D">
      <w:pPr>
        <w:pStyle w:val="ListBulletLessSpace"/>
      </w:pPr>
      <w:r w:rsidRPr="00B068A2">
        <w:t>Develop guidelines for law enforcement agenc</w:t>
      </w:r>
      <w:r w:rsidR="002A472B">
        <w:t>ies on particular LGBTI issues</w:t>
      </w:r>
      <w:r w:rsidR="007E5E1D">
        <w:t>.</w:t>
      </w:r>
    </w:p>
    <w:p w14:paraId="2D41DDF7" w14:textId="0921E98D" w:rsidR="0075434A" w:rsidRPr="00B068A2" w:rsidRDefault="007E5E1D" w:rsidP="002A472B">
      <w:pPr>
        <w:pStyle w:val="Heading5"/>
      </w:pPr>
      <w:r>
        <w:t>CSOs/CBOs</w:t>
      </w:r>
    </w:p>
    <w:p w14:paraId="52ED2525" w14:textId="055B330D" w:rsidR="0075434A" w:rsidRPr="00B068A2" w:rsidRDefault="0075434A" w:rsidP="007E5E1D">
      <w:pPr>
        <w:pStyle w:val="ListBulletLessSpace"/>
      </w:pPr>
      <w:r w:rsidRPr="00B068A2">
        <w:t>Create more awareness a</w:t>
      </w:r>
      <w:r w:rsidR="007E5E1D">
        <w:t>nd education.</w:t>
      </w:r>
    </w:p>
    <w:p w14:paraId="7935C395" w14:textId="6F787A76" w:rsidR="0075434A" w:rsidRPr="00B068A2" w:rsidRDefault="007E5E1D" w:rsidP="002A472B">
      <w:pPr>
        <w:pStyle w:val="Heading5"/>
      </w:pPr>
      <w:r>
        <w:t>UN agencies</w:t>
      </w:r>
    </w:p>
    <w:p w14:paraId="1E9D18C0" w14:textId="52F6C5E1" w:rsidR="0075434A" w:rsidRPr="00B068A2" w:rsidRDefault="0075434A" w:rsidP="007E5E1D">
      <w:pPr>
        <w:pStyle w:val="ListBulletLessSpace"/>
      </w:pPr>
      <w:r w:rsidRPr="00B068A2">
        <w:t>Better coordination with advo</w:t>
      </w:r>
      <w:r w:rsidR="007E5E1D">
        <w:t>cates and national institutions.</w:t>
      </w:r>
    </w:p>
    <w:p w14:paraId="11709E9A" w14:textId="498F7B97" w:rsidR="0075434A" w:rsidRDefault="007E5E1D" w:rsidP="00FB54B4">
      <w:pPr>
        <w:pStyle w:val="Heading3"/>
      </w:pPr>
      <w:bookmarkStart w:id="73" w:name="_Toc489441325"/>
      <w:bookmarkStart w:id="74" w:name="_Toc491332778"/>
      <w:r>
        <w:lastRenderedPageBreak/>
        <w:t>Workstation 7: Engagement with international human rights m</w:t>
      </w:r>
      <w:r w:rsidR="0075434A" w:rsidRPr="00B068A2">
        <w:t>echanisms</w:t>
      </w:r>
      <w:bookmarkEnd w:id="73"/>
      <w:bookmarkEnd w:id="74"/>
    </w:p>
    <w:p w14:paraId="391BFC77" w14:textId="77777777" w:rsidR="007E5E1D" w:rsidRDefault="0075434A" w:rsidP="007E5E1D">
      <w:pPr>
        <w:pStyle w:val="NormalTextBox"/>
        <w:spacing w:after="120"/>
        <w:rPr>
          <w:sz w:val="20"/>
          <w:szCs w:val="20"/>
        </w:rPr>
      </w:pPr>
      <w:r w:rsidRPr="007E5E1D">
        <w:rPr>
          <w:b/>
          <w:sz w:val="20"/>
          <w:szCs w:val="20"/>
        </w:rPr>
        <w:t>Facilitator</w:t>
      </w:r>
      <w:r w:rsidR="007E5E1D" w:rsidRPr="007E5E1D">
        <w:rPr>
          <w:b/>
          <w:sz w:val="20"/>
          <w:szCs w:val="20"/>
        </w:rPr>
        <w:br/>
      </w:r>
      <w:r w:rsidRPr="007E5E1D">
        <w:rPr>
          <w:sz w:val="20"/>
          <w:szCs w:val="20"/>
        </w:rPr>
        <w:t>Boyan Konstantinov, UNDP</w:t>
      </w:r>
    </w:p>
    <w:p w14:paraId="7FAF8EC8" w14:textId="795B2B3F" w:rsidR="0075434A" w:rsidRPr="007E5E1D" w:rsidRDefault="0075434A" w:rsidP="007E5E1D">
      <w:pPr>
        <w:pStyle w:val="NormalTextBox"/>
        <w:spacing w:before="120"/>
        <w:rPr>
          <w:i/>
          <w:sz w:val="20"/>
          <w:szCs w:val="20"/>
        </w:rPr>
      </w:pPr>
      <w:r w:rsidRPr="007E5E1D">
        <w:rPr>
          <w:b/>
          <w:sz w:val="20"/>
          <w:szCs w:val="20"/>
        </w:rPr>
        <w:t>Rapporteur</w:t>
      </w:r>
      <w:r w:rsidR="007E5E1D" w:rsidRPr="007E5E1D">
        <w:rPr>
          <w:b/>
          <w:sz w:val="20"/>
          <w:szCs w:val="20"/>
        </w:rPr>
        <w:br/>
      </w:r>
      <w:r w:rsidRPr="007E5E1D">
        <w:rPr>
          <w:rFonts w:eastAsiaTheme="minorHAnsi"/>
          <w:sz w:val="20"/>
          <w:szCs w:val="20"/>
        </w:rPr>
        <w:t>Atef Majali, NHRI Jordan</w:t>
      </w:r>
    </w:p>
    <w:p w14:paraId="0D058545" w14:textId="77777777" w:rsidR="0075434A" w:rsidRPr="00B068A2" w:rsidRDefault="0075434A" w:rsidP="002A472B">
      <w:pPr>
        <w:pStyle w:val="Heading4"/>
        <w:rPr>
          <w:lang w:val="en-GB"/>
        </w:rPr>
      </w:pPr>
      <w:r w:rsidRPr="00B068A2">
        <w:rPr>
          <w:lang w:val="en-GB"/>
        </w:rPr>
        <w:t>Question 1: Gaps in Yogyakarta Principles in relation to engagement with international human rights mechanisms</w:t>
      </w:r>
    </w:p>
    <w:p w14:paraId="27D67039" w14:textId="3FE4A875" w:rsidR="0075434A" w:rsidRPr="00B068A2" w:rsidRDefault="0075434A" w:rsidP="007E5E1D">
      <w:pPr>
        <w:pStyle w:val="ListBulletLessSpace"/>
      </w:pPr>
      <w:r w:rsidRPr="00B068A2">
        <w:t xml:space="preserve">Better engagement with the </w:t>
      </w:r>
      <w:r>
        <w:t>Universal Periodic Review (</w:t>
      </w:r>
      <w:r w:rsidRPr="00B068A2">
        <w:t>UPR</w:t>
      </w:r>
      <w:r>
        <w:t>)</w:t>
      </w:r>
      <w:r w:rsidRPr="00B068A2">
        <w:t xml:space="preserve"> proce</w:t>
      </w:r>
      <w:r w:rsidR="007E5E1D">
        <w:t>ss is required – but is lacking</w:t>
      </w:r>
    </w:p>
    <w:p w14:paraId="689C1179" w14:textId="77777777" w:rsidR="0075434A" w:rsidRPr="00B068A2" w:rsidRDefault="0075434A" w:rsidP="007E5E1D">
      <w:pPr>
        <w:pStyle w:val="ListBulletLessSpace"/>
      </w:pPr>
      <w:r w:rsidRPr="00B068A2">
        <w:t>Shadow reporting efforts are good – but practices need to be shared more</w:t>
      </w:r>
    </w:p>
    <w:p w14:paraId="465735D5" w14:textId="77777777" w:rsidR="0075434A" w:rsidRPr="00B068A2" w:rsidRDefault="0075434A" w:rsidP="007E5E1D">
      <w:pPr>
        <w:pStyle w:val="ListBulletLessSpace"/>
      </w:pPr>
      <w:r w:rsidRPr="00B068A2">
        <w:t xml:space="preserve">Need to boost the role of the human rights council – specify in </w:t>
      </w:r>
      <w:r>
        <w:t xml:space="preserve">the Principles </w:t>
      </w:r>
    </w:p>
    <w:p w14:paraId="1AB91548" w14:textId="77777777" w:rsidR="0075434A" w:rsidRPr="00B068A2" w:rsidRDefault="0075434A" w:rsidP="007E5E1D">
      <w:pPr>
        <w:pStyle w:val="ListBulletLessSpace"/>
      </w:pPr>
      <w:r w:rsidRPr="00B068A2">
        <w:t xml:space="preserve">Training for CSOs on how to </w:t>
      </w:r>
      <w:r>
        <w:t>engage</w:t>
      </w:r>
      <w:r w:rsidRPr="00B068A2">
        <w:t xml:space="preserve"> well with the international human rights mechanisms</w:t>
      </w:r>
    </w:p>
    <w:p w14:paraId="49722A05" w14:textId="77777777" w:rsidR="0075434A" w:rsidRPr="00B068A2" w:rsidRDefault="0075434A" w:rsidP="007E5E1D">
      <w:pPr>
        <w:pStyle w:val="ListBulletLessSpace"/>
      </w:pPr>
      <w:r w:rsidRPr="00B068A2">
        <w:t>Better engagement with UN on the integration and promotion of the Principles</w:t>
      </w:r>
    </w:p>
    <w:p w14:paraId="3BC2EADE" w14:textId="77777777" w:rsidR="0075434A" w:rsidRPr="00B068A2" w:rsidRDefault="0075434A" w:rsidP="007E5E1D">
      <w:pPr>
        <w:pStyle w:val="ListBulletLessSpace"/>
      </w:pPr>
      <w:r w:rsidRPr="00B068A2">
        <w:t>Discrepancies in CSO capacity to engage – build on knowledge and skill building</w:t>
      </w:r>
    </w:p>
    <w:p w14:paraId="3FB91373" w14:textId="77777777" w:rsidR="0075434A" w:rsidRPr="00B068A2" w:rsidRDefault="0075434A" w:rsidP="007E5E1D">
      <w:pPr>
        <w:pStyle w:val="ListBulletLessSpace"/>
      </w:pPr>
      <w:r w:rsidRPr="00B068A2">
        <w:t xml:space="preserve">Mapping of treaty bodies and their relevance and effectiveness in engaging with individual countries in relation to the </w:t>
      </w:r>
      <w:r>
        <w:t>Principles</w:t>
      </w:r>
    </w:p>
    <w:p w14:paraId="3A2C0396" w14:textId="77777777" w:rsidR="0075434A" w:rsidRPr="00B068A2" w:rsidRDefault="0075434A" w:rsidP="007E5E1D">
      <w:pPr>
        <w:pStyle w:val="ListBulletLessSpace"/>
      </w:pPr>
      <w:r w:rsidRPr="00B068A2">
        <w:t xml:space="preserve">Include Independent Expert’s role in the </w:t>
      </w:r>
      <w:r>
        <w:t>Principles</w:t>
      </w:r>
    </w:p>
    <w:p w14:paraId="45925F0B" w14:textId="77777777" w:rsidR="0075434A" w:rsidRPr="00B068A2" w:rsidRDefault="0075434A" w:rsidP="007E5E1D">
      <w:pPr>
        <w:pStyle w:val="ListBulletLessSpace"/>
      </w:pPr>
      <w:r w:rsidRPr="00B068A2">
        <w:t>Support the mandate of the Independent Expert – reference support also to the human rights council</w:t>
      </w:r>
    </w:p>
    <w:p w14:paraId="1B5502C3" w14:textId="77777777" w:rsidR="0075434A" w:rsidRPr="00B068A2" w:rsidRDefault="0075434A" w:rsidP="007E5E1D">
      <w:pPr>
        <w:pStyle w:val="ListBulletLessSpace"/>
      </w:pPr>
      <w:r w:rsidRPr="00B068A2">
        <w:t>How to approach the lack of NHRIs in certain countries? Can we use regional frameworks and/or create them – regional dialogues</w:t>
      </w:r>
    </w:p>
    <w:p w14:paraId="2757BD8C" w14:textId="77777777" w:rsidR="0075434A" w:rsidRPr="00B068A2" w:rsidRDefault="0075434A" w:rsidP="007E5E1D">
      <w:pPr>
        <w:pStyle w:val="ListBulletLessSpace"/>
      </w:pPr>
      <w:r w:rsidRPr="00B068A2">
        <w:t xml:space="preserve">Explicitly mention roles of NHRIs and </w:t>
      </w:r>
      <w:r>
        <w:t>Principles</w:t>
      </w:r>
      <w:r w:rsidRPr="00B068A2">
        <w:t xml:space="preserve"> and need to create them where they don’t exist (principle 27)</w:t>
      </w:r>
    </w:p>
    <w:p w14:paraId="6C0F5B01" w14:textId="77777777" w:rsidR="0075434A" w:rsidRPr="00B068A2" w:rsidRDefault="0075434A" w:rsidP="007E5E1D">
      <w:pPr>
        <w:pStyle w:val="ListBulletLessSpace"/>
      </w:pPr>
      <w:r w:rsidRPr="00B068A2">
        <w:t xml:space="preserve">Additional recommendations – UNWOMEN to be included </w:t>
      </w:r>
    </w:p>
    <w:p w14:paraId="24232994" w14:textId="421F7342" w:rsidR="0075434A" w:rsidRPr="00B068A2" w:rsidRDefault="0075434A" w:rsidP="007E5E1D">
      <w:pPr>
        <w:pStyle w:val="ListBulletLessSpace"/>
      </w:pPr>
      <w:r w:rsidRPr="00B068A2">
        <w:t>Reference to enforced disappearance is not there in the Principles</w:t>
      </w:r>
      <w:r w:rsidR="007E5E1D">
        <w:t>.</w:t>
      </w:r>
    </w:p>
    <w:p w14:paraId="5DCDD907" w14:textId="77777777" w:rsidR="0075434A" w:rsidRPr="00B068A2" w:rsidRDefault="0075434A" w:rsidP="002A472B">
      <w:pPr>
        <w:pStyle w:val="Heading4"/>
        <w:rPr>
          <w:lang w:val="en-GB"/>
        </w:rPr>
      </w:pPr>
      <w:r w:rsidRPr="00B068A2">
        <w:rPr>
          <w:lang w:val="en-GB"/>
        </w:rPr>
        <w:t>Question 2: Roles of specific actors</w:t>
      </w:r>
    </w:p>
    <w:p w14:paraId="3D0BD5FB" w14:textId="44653CF5" w:rsidR="0075434A" w:rsidRPr="00B068A2" w:rsidRDefault="007E5E1D" w:rsidP="002A472B">
      <w:pPr>
        <w:pStyle w:val="Heading5"/>
      </w:pPr>
      <w:r>
        <w:t>State agencies</w:t>
      </w:r>
    </w:p>
    <w:p w14:paraId="0A1CE25E" w14:textId="77777777" w:rsidR="0075434A" w:rsidRPr="00B068A2" w:rsidRDefault="0075434A" w:rsidP="007E5E1D">
      <w:pPr>
        <w:pStyle w:val="ListBulletLessSpace"/>
      </w:pPr>
      <w:r w:rsidRPr="00B068A2">
        <w:t xml:space="preserve">Embassies need to play a role in raising issues of rights of LGBTI </w:t>
      </w:r>
      <w:r>
        <w:t xml:space="preserve">people </w:t>
      </w:r>
      <w:r w:rsidRPr="00B068A2">
        <w:t xml:space="preserve">and </w:t>
      </w:r>
      <w:r>
        <w:t>the Principles</w:t>
      </w:r>
      <w:r w:rsidRPr="00B068A2">
        <w:t xml:space="preserve"> – they can then report and inform recommendations to their representatives in Geneva</w:t>
      </w:r>
    </w:p>
    <w:p w14:paraId="1124DE02" w14:textId="0B87A575" w:rsidR="0075434A" w:rsidRPr="00B068A2" w:rsidRDefault="0075434A" w:rsidP="007E5E1D">
      <w:pPr>
        <w:pStyle w:val="ListBulletLessSpace"/>
      </w:pPr>
      <w:r w:rsidRPr="00B068A2">
        <w:t>Shrinking space for civil society need</w:t>
      </w:r>
      <w:r>
        <w:t>s</w:t>
      </w:r>
      <w:r w:rsidR="007E5E1D">
        <w:t xml:space="preserve"> to be addressed.</w:t>
      </w:r>
    </w:p>
    <w:p w14:paraId="2D975FB3" w14:textId="47B98BA4" w:rsidR="0075434A" w:rsidRPr="00B068A2" w:rsidRDefault="00FF40FF" w:rsidP="002A472B">
      <w:pPr>
        <w:pStyle w:val="Heading5"/>
      </w:pPr>
      <w:r>
        <w:t>NHRIs</w:t>
      </w:r>
    </w:p>
    <w:p w14:paraId="233F2E85" w14:textId="77777777" w:rsidR="0075434A" w:rsidRPr="00B068A2" w:rsidRDefault="0075434A" w:rsidP="00FF40FF">
      <w:pPr>
        <w:pStyle w:val="ListBulletLessSpace"/>
      </w:pPr>
      <w:r w:rsidRPr="00B068A2">
        <w:t xml:space="preserve">NHRIs can do training with UN assistance on networking of CSOs </w:t>
      </w:r>
    </w:p>
    <w:p w14:paraId="49E86BA6" w14:textId="77777777" w:rsidR="0075434A" w:rsidRPr="00B068A2" w:rsidRDefault="0075434A" w:rsidP="00FF40FF">
      <w:pPr>
        <w:pStyle w:val="ListBulletLessSpace"/>
      </w:pPr>
      <w:r w:rsidRPr="00B068A2">
        <w:t xml:space="preserve">NHRIs and other national institutions need to help establish as well as improve connection to missions in Geneva and New York to engage with the human rights mechanisms on LGBTI rights </w:t>
      </w:r>
    </w:p>
    <w:p w14:paraId="74769625" w14:textId="342EFA6E" w:rsidR="0075434A" w:rsidRDefault="0075434A" w:rsidP="00FF40FF">
      <w:pPr>
        <w:pStyle w:val="ListBulletLessSpace"/>
      </w:pPr>
      <w:r w:rsidRPr="00B068A2">
        <w:lastRenderedPageBreak/>
        <w:t xml:space="preserve">Include explicit reference to </w:t>
      </w:r>
      <w:r>
        <w:t>the Principles</w:t>
      </w:r>
      <w:r w:rsidRPr="00B068A2">
        <w:t xml:space="preserve"> in NHRI and shadow reports</w:t>
      </w:r>
      <w:r w:rsidR="00FF40FF">
        <w:t>.</w:t>
      </w:r>
    </w:p>
    <w:p w14:paraId="169D9073" w14:textId="7B7B8570" w:rsidR="0075434A" w:rsidRPr="00B068A2" w:rsidRDefault="00FF40FF" w:rsidP="002A472B">
      <w:pPr>
        <w:pStyle w:val="Heading5"/>
      </w:pPr>
      <w:r>
        <w:t>UN</w:t>
      </w:r>
    </w:p>
    <w:p w14:paraId="35BB58F4" w14:textId="77777777" w:rsidR="0075434A" w:rsidRPr="00B068A2" w:rsidRDefault="0075434A" w:rsidP="00FF40FF">
      <w:pPr>
        <w:pStyle w:val="ListBulletLessSpace"/>
      </w:pPr>
      <w:r w:rsidRPr="00B068A2">
        <w:t xml:space="preserve">Human </w:t>
      </w:r>
      <w:r>
        <w:t>R</w:t>
      </w:r>
      <w:r w:rsidRPr="00B068A2">
        <w:t xml:space="preserve">ights </w:t>
      </w:r>
      <w:r>
        <w:t>C</w:t>
      </w:r>
      <w:r w:rsidRPr="00B068A2">
        <w:t xml:space="preserve">ouncil to explicitly endorse </w:t>
      </w:r>
      <w:r>
        <w:t>Principles</w:t>
      </w:r>
      <w:r w:rsidRPr="00B068A2">
        <w:t xml:space="preserve"> (and possibly also by the General Assembly</w:t>
      </w:r>
    </w:p>
    <w:p w14:paraId="6F5065EC" w14:textId="77777777" w:rsidR="0075434A" w:rsidRPr="00B068A2" w:rsidRDefault="0075434A" w:rsidP="00FF40FF">
      <w:pPr>
        <w:pStyle w:val="ListBulletLessSpace"/>
      </w:pPr>
      <w:r w:rsidRPr="00B068A2">
        <w:t xml:space="preserve">Human Rights Council and consultation with civil society need to be integrated into </w:t>
      </w:r>
      <w:r>
        <w:t>Principles</w:t>
      </w:r>
    </w:p>
    <w:p w14:paraId="7A631467" w14:textId="77777777" w:rsidR="0075434A" w:rsidRPr="00B068A2" w:rsidRDefault="0075434A" w:rsidP="00FF40FF">
      <w:pPr>
        <w:pStyle w:val="ListBulletLessSpace"/>
      </w:pPr>
      <w:r w:rsidRPr="00B068A2">
        <w:t xml:space="preserve">UN to engage in creating a platform on </w:t>
      </w:r>
      <w:r>
        <w:t>Principles</w:t>
      </w:r>
      <w:r w:rsidRPr="00B068A2">
        <w:t xml:space="preserve"> and connect all actors</w:t>
      </w:r>
    </w:p>
    <w:p w14:paraId="4612B56B" w14:textId="4CBB079B" w:rsidR="0075434A" w:rsidRPr="00B068A2" w:rsidRDefault="0075434A" w:rsidP="00FF40FF">
      <w:pPr>
        <w:pStyle w:val="ListBulletLessSpace"/>
      </w:pPr>
      <w:r w:rsidRPr="00B068A2">
        <w:t xml:space="preserve">UN agencies and country reports for UPR and treaty bodies to include </w:t>
      </w:r>
      <w:r>
        <w:t>SOGIESC</w:t>
      </w:r>
      <w:r w:rsidRPr="00B068A2">
        <w:t xml:space="preserve"> </w:t>
      </w:r>
      <w:r>
        <w:t xml:space="preserve">issues </w:t>
      </w:r>
      <w:r w:rsidRPr="00B068A2">
        <w:t>and work with civil society</w:t>
      </w:r>
      <w:r w:rsidR="00FF40FF">
        <w:t>.</w:t>
      </w:r>
    </w:p>
    <w:p w14:paraId="1E5DC4F6" w14:textId="60DB2770" w:rsidR="0075434A" w:rsidRPr="00B068A2" w:rsidRDefault="00FF40FF" w:rsidP="002A472B">
      <w:pPr>
        <w:pStyle w:val="Heading5"/>
      </w:pPr>
      <w:r>
        <w:t>Advocates</w:t>
      </w:r>
    </w:p>
    <w:p w14:paraId="0E59E477" w14:textId="5284D578" w:rsidR="0075434A" w:rsidRPr="00B068A2" w:rsidRDefault="0075434A" w:rsidP="00FF40FF">
      <w:pPr>
        <w:pStyle w:val="ListBulletLessSpace"/>
      </w:pPr>
      <w:r w:rsidRPr="00B068A2">
        <w:t xml:space="preserve">Multi-stakeholder working groups to be formed to follow up with reference to </w:t>
      </w:r>
      <w:r>
        <w:t>the Principles</w:t>
      </w:r>
      <w:r w:rsidRPr="00B068A2">
        <w:t xml:space="preserve"> and human rights mechanisms</w:t>
      </w:r>
      <w:r w:rsidR="00FF40FF">
        <w:t>.</w:t>
      </w:r>
    </w:p>
    <w:p w14:paraId="3DDE2054" w14:textId="4FB76F48" w:rsidR="0075434A" w:rsidRPr="00B068A2" w:rsidRDefault="00FF40FF" w:rsidP="002A472B">
      <w:pPr>
        <w:pStyle w:val="Heading5"/>
      </w:pPr>
      <w:r>
        <w:t>Private sector</w:t>
      </w:r>
    </w:p>
    <w:p w14:paraId="0D8B0964" w14:textId="77777777" w:rsidR="0075434A" w:rsidRPr="00B068A2" w:rsidRDefault="0075434A" w:rsidP="00FF40FF">
      <w:pPr>
        <w:pStyle w:val="ListBulletLessSpace"/>
      </w:pPr>
      <w:r w:rsidRPr="00B068A2">
        <w:t>Can we engage the private sector?</w:t>
      </w:r>
    </w:p>
    <w:p w14:paraId="0E681B7F" w14:textId="486A9807" w:rsidR="0075434A" w:rsidRPr="00B068A2" w:rsidRDefault="00FF40FF" w:rsidP="00FE52D0">
      <w:pPr>
        <w:pStyle w:val="Heading5"/>
      </w:pPr>
      <w:r>
        <w:t>Donors</w:t>
      </w:r>
    </w:p>
    <w:p w14:paraId="4AF38285" w14:textId="73835ACC" w:rsidR="0075434A" w:rsidRPr="00B068A2" w:rsidRDefault="0075434A" w:rsidP="00FF40FF">
      <w:pPr>
        <w:pStyle w:val="ListBulletLessSpace"/>
      </w:pPr>
      <w:r w:rsidRPr="00B068A2">
        <w:t xml:space="preserve">Donors to support follow up work on </w:t>
      </w:r>
      <w:r>
        <w:t>the Principles</w:t>
      </w:r>
      <w:r w:rsidRPr="00B068A2">
        <w:t xml:space="preserve"> and human rights mechanisms – funding can be channelled to communities</w:t>
      </w:r>
      <w:r w:rsidR="00F3764F">
        <w:t xml:space="preserve"> –</w:t>
      </w:r>
      <w:r w:rsidRPr="00B068A2">
        <w:t xml:space="preserve"> no excessive administrativ</w:t>
      </w:r>
      <w:r w:rsidR="00FF40FF">
        <w:t>e requirements.</w:t>
      </w:r>
    </w:p>
    <w:p w14:paraId="486EC2D8" w14:textId="37EC377D" w:rsidR="0075434A" w:rsidRDefault="00FF40FF" w:rsidP="00FB54B4">
      <w:pPr>
        <w:pStyle w:val="Heading3"/>
      </w:pPr>
      <w:bookmarkStart w:id="75" w:name="_Toc489441326"/>
      <w:bookmarkStart w:id="76" w:name="_Toc491332779"/>
      <w:r>
        <w:t>Workstation 8: Sustainable development g</w:t>
      </w:r>
      <w:r w:rsidR="0075434A" w:rsidRPr="00B068A2">
        <w:t>oals</w:t>
      </w:r>
      <w:bookmarkEnd w:id="75"/>
      <w:bookmarkEnd w:id="76"/>
    </w:p>
    <w:p w14:paraId="652A6AA3" w14:textId="77777777" w:rsidR="00FF40FF" w:rsidRDefault="0075434A" w:rsidP="00FF40FF">
      <w:pPr>
        <w:pStyle w:val="NormalTextBox"/>
        <w:spacing w:after="120"/>
        <w:rPr>
          <w:sz w:val="20"/>
          <w:szCs w:val="20"/>
        </w:rPr>
      </w:pPr>
      <w:r w:rsidRPr="00FF40FF">
        <w:rPr>
          <w:b/>
          <w:sz w:val="20"/>
          <w:szCs w:val="20"/>
        </w:rPr>
        <w:t>Facilitator</w:t>
      </w:r>
      <w:r w:rsidR="00FF40FF" w:rsidRPr="00FF40FF">
        <w:rPr>
          <w:b/>
          <w:sz w:val="20"/>
          <w:szCs w:val="20"/>
        </w:rPr>
        <w:br/>
      </w:r>
      <w:r w:rsidR="00FE52D0" w:rsidRPr="00FF40FF">
        <w:rPr>
          <w:sz w:val="20"/>
          <w:szCs w:val="20"/>
        </w:rPr>
        <w:t>Zainab Noronha, UNDP</w:t>
      </w:r>
    </w:p>
    <w:p w14:paraId="1179A439" w14:textId="5D3BA0F4" w:rsidR="0075434A" w:rsidRPr="00FF40FF" w:rsidRDefault="0075434A" w:rsidP="00FF40FF">
      <w:pPr>
        <w:pStyle w:val="NormalTextBox"/>
        <w:spacing w:before="120"/>
        <w:rPr>
          <w:sz w:val="20"/>
          <w:szCs w:val="20"/>
        </w:rPr>
      </w:pPr>
      <w:r w:rsidRPr="00FF40FF">
        <w:rPr>
          <w:b/>
          <w:sz w:val="20"/>
          <w:szCs w:val="20"/>
        </w:rPr>
        <w:t>Rapporteur</w:t>
      </w:r>
      <w:r w:rsidR="00FF40FF" w:rsidRPr="00FF40FF">
        <w:rPr>
          <w:b/>
          <w:sz w:val="20"/>
          <w:szCs w:val="20"/>
        </w:rPr>
        <w:br/>
      </w:r>
      <w:r w:rsidRPr="00FF40FF">
        <w:rPr>
          <w:sz w:val="20"/>
          <w:szCs w:val="20"/>
        </w:rPr>
        <w:t>Twyla Rubin, NHRI Philippines</w:t>
      </w:r>
    </w:p>
    <w:p w14:paraId="029DCAFE" w14:textId="6BAB1270" w:rsidR="0075434A" w:rsidRPr="00B068A2" w:rsidRDefault="0075434A" w:rsidP="00FE52D0">
      <w:pPr>
        <w:pStyle w:val="Heading4"/>
        <w:rPr>
          <w:lang w:val="en-GB"/>
        </w:rPr>
      </w:pPr>
      <w:r w:rsidRPr="00B068A2">
        <w:rPr>
          <w:lang w:val="en-GB"/>
        </w:rPr>
        <w:t>Question 1: Gaps in Yogyak</w:t>
      </w:r>
      <w:r w:rsidR="00FF40FF">
        <w:rPr>
          <w:lang w:val="en-GB"/>
        </w:rPr>
        <w:t>arta Principles in relation to sustainable development g</w:t>
      </w:r>
      <w:r w:rsidRPr="00B068A2">
        <w:rPr>
          <w:lang w:val="en-GB"/>
        </w:rPr>
        <w:t xml:space="preserve">oals </w:t>
      </w:r>
    </w:p>
    <w:p w14:paraId="49949146" w14:textId="77777777" w:rsidR="0075434A" w:rsidRPr="00B068A2" w:rsidRDefault="0075434A" w:rsidP="00FF40FF">
      <w:pPr>
        <w:pStyle w:val="ListBulletLessSpace"/>
      </w:pPr>
      <w:r w:rsidRPr="00B068A2">
        <w:t xml:space="preserve">There is no reference to Sustainable Development Goals (SDGs) in the Yogyakarta Principles – </w:t>
      </w:r>
      <w:r>
        <w:t xml:space="preserve">[Note: </w:t>
      </w:r>
      <w:proofErr w:type="gramStart"/>
      <w:r w:rsidRPr="00B068A2">
        <w:t>the</w:t>
      </w:r>
      <w:proofErr w:type="gramEnd"/>
      <w:r w:rsidRPr="00B068A2">
        <w:t xml:space="preserve"> Principles pre-date the SDGs</w:t>
      </w:r>
      <w:r>
        <w:t>]</w:t>
      </w:r>
    </w:p>
    <w:p w14:paraId="6396120E" w14:textId="77777777" w:rsidR="0075434A" w:rsidRPr="00B068A2" w:rsidRDefault="0075434A" w:rsidP="00FF40FF">
      <w:pPr>
        <w:pStyle w:val="ListBulletLessSpace"/>
      </w:pPr>
      <w:r w:rsidRPr="00B068A2">
        <w:t>There should be a reference to SDGs in</w:t>
      </w:r>
      <w:r>
        <w:t xml:space="preserve"> any update to the</w:t>
      </w:r>
      <w:r w:rsidRPr="00B068A2">
        <w:t xml:space="preserve"> </w:t>
      </w:r>
      <w:r>
        <w:t>Principles</w:t>
      </w:r>
    </w:p>
    <w:p w14:paraId="0F3F84F2" w14:textId="77777777" w:rsidR="0075434A" w:rsidRPr="00B068A2" w:rsidRDefault="0075434A" w:rsidP="00FF40FF">
      <w:pPr>
        <w:pStyle w:val="ListBulletLessSpace"/>
      </w:pPr>
      <w:r w:rsidRPr="00B068A2">
        <w:t xml:space="preserve">SDGs are often overlooked in </w:t>
      </w:r>
      <w:r>
        <w:t>SOGIESC</w:t>
      </w:r>
      <w:r w:rsidRPr="00B068A2">
        <w:t xml:space="preserve"> advocacy </w:t>
      </w:r>
    </w:p>
    <w:p w14:paraId="12DBF3EF" w14:textId="77777777" w:rsidR="0075434A" w:rsidRPr="00B068A2" w:rsidRDefault="0075434A" w:rsidP="00FF40FF">
      <w:pPr>
        <w:pStyle w:val="ListBulletLessSpace"/>
      </w:pPr>
      <w:r w:rsidRPr="00B068A2">
        <w:t xml:space="preserve">Application of </w:t>
      </w:r>
      <w:r>
        <w:t xml:space="preserve">the </w:t>
      </w:r>
      <w:r w:rsidRPr="00B068A2">
        <w:t xml:space="preserve">SDGs to </w:t>
      </w:r>
      <w:r>
        <w:t>SOGIESC</w:t>
      </w:r>
      <w:r w:rsidRPr="00B068A2">
        <w:t xml:space="preserve"> can also happen in a separate document rather than a revision in the Principles</w:t>
      </w:r>
    </w:p>
    <w:p w14:paraId="1B29DE42" w14:textId="77777777" w:rsidR="0075434A" w:rsidRPr="00B068A2" w:rsidRDefault="0075434A" w:rsidP="00FF40FF">
      <w:pPr>
        <w:pStyle w:val="ListBulletLessSpace"/>
      </w:pPr>
      <w:r w:rsidRPr="00B068A2">
        <w:t xml:space="preserve">Data on LGBTI issues – there is no mention of data in the Principles </w:t>
      </w:r>
    </w:p>
    <w:p w14:paraId="304059ED" w14:textId="77777777" w:rsidR="0075434A" w:rsidRPr="00B068A2" w:rsidRDefault="0075434A" w:rsidP="00FF40FF">
      <w:pPr>
        <w:pStyle w:val="ListBulletLessSpace"/>
      </w:pPr>
      <w:r w:rsidRPr="00B068A2">
        <w:t xml:space="preserve">There is a need to bridge the data gap in relation to what we want to assess – and include data collection separately </w:t>
      </w:r>
    </w:p>
    <w:p w14:paraId="2FC6ABAC" w14:textId="77777777" w:rsidR="0075434A" w:rsidRPr="00B068A2" w:rsidRDefault="0075434A" w:rsidP="00FF40FF">
      <w:pPr>
        <w:pStyle w:val="ListBulletLessSpace"/>
      </w:pPr>
      <w:r w:rsidRPr="00B068A2">
        <w:t>Priorit</w:t>
      </w:r>
      <w:r>
        <w:t>is</w:t>
      </w:r>
      <w:r w:rsidRPr="00B068A2">
        <w:t>ing which issues in SDGs should be included in the Principles</w:t>
      </w:r>
    </w:p>
    <w:p w14:paraId="73B49F67" w14:textId="77777777" w:rsidR="0075434A" w:rsidRPr="00B068A2" w:rsidRDefault="0075434A" w:rsidP="00FF40FF">
      <w:pPr>
        <w:pStyle w:val="ListBulletLessSpace"/>
      </w:pPr>
      <w:r w:rsidRPr="00B068A2">
        <w:t>Question on how development is viewed – material vs emotional development dimensions</w:t>
      </w:r>
    </w:p>
    <w:p w14:paraId="73541BEA" w14:textId="77777777" w:rsidR="0075434A" w:rsidRPr="00B068A2" w:rsidRDefault="0075434A" w:rsidP="00FF40FF">
      <w:pPr>
        <w:pStyle w:val="ListBulletLessSpace"/>
      </w:pPr>
      <w:r w:rsidRPr="00B068A2">
        <w:lastRenderedPageBreak/>
        <w:t xml:space="preserve">Intentional inclusion as entry point of LGBTI rights – matches SDGs with human rights </w:t>
      </w:r>
    </w:p>
    <w:p w14:paraId="7CBFD69E" w14:textId="7591975D" w:rsidR="0075434A" w:rsidRPr="00B068A2" w:rsidRDefault="0075434A" w:rsidP="00FF40FF">
      <w:pPr>
        <w:pStyle w:val="ListBulletLessSpace"/>
      </w:pPr>
      <w:r w:rsidRPr="00B068A2">
        <w:t xml:space="preserve">Use of </w:t>
      </w:r>
      <w:r>
        <w:t>the Principles</w:t>
      </w:r>
      <w:r w:rsidRPr="00B068A2">
        <w:t xml:space="preserve"> in advocacy for SDGs and LGBTI incl</w:t>
      </w:r>
      <w:r w:rsidR="00FF40FF">
        <w:t>usion (development infographics/</w:t>
      </w:r>
      <w:r w:rsidRPr="00B068A2">
        <w:t xml:space="preserve">tools to take to court) – perhaps as a separate document </w:t>
      </w:r>
    </w:p>
    <w:p w14:paraId="669959EA" w14:textId="77777777" w:rsidR="0075434A" w:rsidRPr="00B068A2" w:rsidRDefault="0075434A" w:rsidP="00FF40FF">
      <w:pPr>
        <w:pStyle w:val="ListBulletLessSpace"/>
      </w:pPr>
      <w:r w:rsidRPr="00B068A2">
        <w:t>Understanding access to SDGs – voluntary reporting, data and priorit</w:t>
      </w:r>
      <w:r>
        <w:t>is</w:t>
      </w:r>
      <w:r w:rsidRPr="00B068A2">
        <w:t>ing programmatic areas</w:t>
      </w:r>
    </w:p>
    <w:p w14:paraId="241B6337" w14:textId="77777777" w:rsidR="0075434A" w:rsidRPr="00B068A2" w:rsidRDefault="0075434A" w:rsidP="00FF40FF">
      <w:pPr>
        <w:pStyle w:val="ListBulletLessSpace"/>
      </w:pPr>
      <w:r w:rsidRPr="00B068A2">
        <w:t xml:space="preserve">Addressing data gaps – building on peer reviewed data as a tool for advocacy, but also ensuring that </w:t>
      </w:r>
      <w:r>
        <w:t>the Principles</w:t>
      </w:r>
      <w:r w:rsidRPr="00B068A2">
        <w:t xml:space="preserve"> are respected in data collection </w:t>
      </w:r>
    </w:p>
    <w:p w14:paraId="49B9FC76" w14:textId="77777777" w:rsidR="0075434A" w:rsidRPr="00B068A2" w:rsidRDefault="0075434A" w:rsidP="00FF40FF">
      <w:pPr>
        <w:pStyle w:val="ListBulletLessSpace"/>
      </w:pPr>
      <w:r w:rsidRPr="00B068A2">
        <w:t>Review of accountability mechanisms, monitoring and data</w:t>
      </w:r>
    </w:p>
    <w:p w14:paraId="7F171FA4" w14:textId="77777777" w:rsidR="0075434A" w:rsidRPr="00B068A2" w:rsidRDefault="0075434A" w:rsidP="00FF40FF">
      <w:pPr>
        <w:pStyle w:val="ListBulletLessSpace"/>
      </w:pPr>
      <w:r w:rsidRPr="00B068A2">
        <w:t>Data safety security contexts – which data to be collected and included</w:t>
      </w:r>
    </w:p>
    <w:p w14:paraId="3525E28C" w14:textId="77777777" w:rsidR="0075434A" w:rsidRPr="00B068A2" w:rsidRDefault="0075434A" w:rsidP="00FF40FF">
      <w:pPr>
        <w:pStyle w:val="ListBulletLessSpace"/>
      </w:pPr>
      <w:r w:rsidRPr="00B068A2">
        <w:t xml:space="preserve">Work of special procedures (with </w:t>
      </w:r>
      <w:r>
        <w:t>SOGIESC</w:t>
      </w:r>
      <w:r w:rsidRPr="00B068A2">
        <w:t xml:space="preserve"> contents) and links with SDGs</w:t>
      </w:r>
    </w:p>
    <w:p w14:paraId="0970D407" w14:textId="77777777" w:rsidR="0075434A" w:rsidRPr="00B068A2" w:rsidRDefault="0075434A" w:rsidP="00FF40FF">
      <w:pPr>
        <w:pStyle w:val="ListBulletLessSpace"/>
      </w:pPr>
      <w:r w:rsidRPr="00B068A2">
        <w:t xml:space="preserve">Work of CSOs in different areas of SDGs to inform advocacy for LGBTI inclusion </w:t>
      </w:r>
    </w:p>
    <w:p w14:paraId="4882C8BD" w14:textId="217D26E9" w:rsidR="0075434A" w:rsidRPr="00B068A2" w:rsidRDefault="0075434A" w:rsidP="00FF40FF">
      <w:pPr>
        <w:pStyle w:val="ListBulletLessSpace"/>
      </w:pPr>
      <w:r w:rsidRPr="00B068A2">
        <w:t>High level panel – developing preceden</w:t>
      </w:r>
      <w:r w:rsidR="00FF40FF">
        <w:t>ts in reporting LGBTI inclusion.</w:t>
      </w:r>
    </w:p>
    <w:p w14:paraId="05C5B47A" w14:textId="77777777" w:rsidR="0075434A" w:rsidRPr="00B068A2" w:rsidRDefault="0075434A" w:rsidP="00FE52D0">
      <w:pPr>
        <w:pStyle w:val="Heading4"/>
        <w:rPr>
          <w:lang w:val="en-GB"/>
        </w:rPr>
      </w:pPr>
      <w:r w:rsidRPr="00B068A2">
        <w:rPr>
          <w:lang w:val="en-GB"/>
        </w:rPr>
        <w:t>Question 2: Roles of specific actors</w:t>
      </w:r>
    </w:p>
    <w:p w14:paraId="0CA95A08" w14:textId="17481141" w:rsidR="0075434A" w:rsidRPr="00B068A2" w:rsidRDefault="00FF40FF" w:rsidP="00FE52D0">
      <w:pPr>
        <w:pStyle w:val="Heading5"/>
      </w:pPr>
      <w:r>
        <w:t>States</w:t>
      </w:r>
    </w:p>
    <w:p w14:paraId="57EF90BD" w14:textId="77777777" w:rsidR="0075434A" w:rsidRPr="00B068A2" w:rsidRDefault="0075434A" w:rsidP="00FF40FF">
      <w:pPr>
        <w:pStyle w:val="ListBulletLessSpace"/>
      </w:pPr>
      <w:r w:rsidRPr="00B068A2">
        <w:t xml:space="preserve">Multiple stakeholders </w:t>
      </w:r>
      <w:r>
        <w:t>advocating</w:t>
      </w:r>
      <w:r w:rsidRPr="00B068A2">
        <w:t xml:space="preserve"> for</w:t>
      </w:r>
      <w:r>
        <w:t xml:space="preserve"> the</w:t>
      </w:r>
      <w:r w:rsidRPr="00B068A2">
        <w:t xml:space="preserve"> Yogyakarta Principles (including courts, CSOs, </w:t>
      </w:r>
      <w:r>
        <w:t>S</w:t>
      </w:r>
      <w:r w:rsidRPr="00B068A2">
        <w:t>tates)</w:t>
      </w:r>
    </w:p>
    <w:p w14:paraId="1C908678" w14:textId="6817DF77" w:rsidR="0075434A" w:rsidRPr="00B068A2" w:rsidRDefault="0075434A" w:rsidP="00FF40FF">
      <w:pPr>
        <w:pStyle w:val="ListBulletLessSpace"/>
      </w:pPr>
      <w:r w:rsidRPr="00B068A2">
        <w:t>Conscious level</w:t>
      </w:r>
      <w:r w:rsidR="00FF40FF">
        <w:t xml:space="preserve"> of engagement and consultation.</w:t>
      </w:r>
    </w:p>
    <w:p w14:paraId="1D45D0D6" w14:textId="4272C177" w:rsidR="0075434A" w:rsidRPr="00B068A2" w:rsidRDefault="00FF40FF" w:rsidP="00FE52D0">
      <w:pPr>
        <w:pStyle w:val="Heading5"/>
      </w:pPr>
      <w:r>
        <w:t>NHRIs</w:t>
      </w:r>
    </w:p>
    <w:p w14:paraId="1A695538" w14:textId="77777777" w:rsidR="0075434A" w:rsidRPr="00B068A2" w:rsidRDefault="0075434A" w:rsidP="00FF40FF">
      <w:pPr>
        <w:pStyle w:val="ListBulletLessSpace"/>
      </w:pPr>
      <w:r w:rsidRPr="00B068A2">
        <w:t xml:space="preserve">NHRIs should monitor SDGs level advocacy </w:t>
      </w:r>
    </w:p>
    <w:p w14:paraId="55F71704" w14:textId="0BD60E48" w:rsidR="0075434A" w:rsidRPr="00B068A2" w:rsidRDefault="0075434A" w:rsidP="00FF40FF">
      <w:pPr>
        <w:pStyle w:val="ListBulletLessSpace"/>
      </w:pPr>
      <w:r w:rsidRPr="00B068A2">
        <w:t xml:space="preserve">Strengthen NHRIs on the use of the Yogyakarta Principles </w:t>
      </w:r>
      <w:r w:rsidR="00FF40FF">
        <w:t>by developing tools and systems.</w:t>
      </w:r>
    </w:p>
    <w:p w14:paraId="01F7A5B3" w14:textId="65BD2C1B" w:rsidR="0075434A" w:rsidRPr="00B068A2" w:rsidRDefault="00FF40FF" w:rsidP="00FE52D0">
      <w:pPr>
        <w:pStyle w:val="Heading5"/>
      </w:pPr>
      <w:r>
        <w:t>Academics</w:t>
      </w:r>
    </w:p>
    <w:p w14:paraId="149C696C" w14:textId="2DEE87CB" w:rsidR="0075434A" w:rsidRPr="00B068A2" w:rsidRDefault="0075434A" w:rsidP="00FF40FF">
      <w:pPr>
        <w:pStyle w:val="ListBulletLessSpace"/>
      </w:pPr>
      <w:r w:rsidRPr="00B068A2">
        <w:t xml:space="preserve">How SDGs and </w:t>
      </w:r>
      <w:r>
        <w:t xml:space="preserve">the </w:t>
      </w:r>
      <w:r w:rsidRPr="00B068A2">
        <w:t xml:space="preserve">Yogyakarta Principles cascade to </w:t>
      </w:r>
      <w:r>
        <w:t>Small Island Developing States (</w:t>
      </w:r>
      <w:r w:rsidRPr="00B068A2">
        <w:t>SIDS</w:t>
      </w:r>
      <w:r>
        <w:t>)</w:t>
      </w:r>
      <w:r w:rsidRPr="00B068A2">
        <w:t xml:space="preserve"> need</w:t>
      </w:r>
      <w:r>
        <w:t>s</w:t>
      </w:r>
      <w:r w:rsidRPr="00B068A2">
        <w:t xml:space="preserve"> to be better understood and local</w:t>
      </w:r>
      <w:r>
        <w:t>is</w:t>
      </w:r>
      <w:r w:rsidRPr="00B068A2">
        <w:t>ed</w:t>
      </w:r>
      <w:r w:rsidR="00FF40FF">
        <w:t>.</w:t>
      </w:r>
    </w:p>
    <w:p w14:paraId="3EE42506" w14:textId="564C754C" w:rsidR="0075434A" w:rsidRPr="00B068A2" w:rsidRDefault="00FF40FF" w:rsidP="00FE52D0">
      <w:pPr>
        <w:pStyle w:val="Heading5"/>
      </w:pPr>
      <w:r>
        <w:t>Advocates</w:t>
      </w:r>
    </w:p>
    <w:p w14:paraId="516D36CA" w14:textId="77777777" w:rsidR="0075434A" w:rsidRPr="00B068A2" w:rsidRDefault="0075434A" w:rsidP="00FF40FF">
      <w:pPr>
        <w:pStyle w:val="ListBulletLessSpace"/>
      </w:pPr>
      <w:r w:rsidRPr="00B068A2">
        <w:t xml:space="preserve">Create noise for </w:t>
      </w:r>
      <w:r>
        <w:t xml:space="preserve">the </w:t>
      </w:r>
      <w:r w:rsidRPr="00B068A2">
        <w:t>Yogyakarta Principles through engagement with high level panel</w:t>
      </w:r>
    </w:p>
    <w:p w14:paraId="65DBB487" w14:textId="77777777" w:rsidR="0075434A" w:rsidRPr="00B068A2" w:rsidRDefault="0075434A" w:rsidP="00FF40FF">
      <w:pPr>
        <w:pStyle w:val="ListBulletLessSpace"/>
      </w:pPr>
      <w:r w:rsidRPr="00B068A2">
        <w:t xml:space="preserve">Sideline events as visibility activities </w:t>
      </w:r>
    </w:p>
    <w:p w14:paraId="38A99462" w14:textId="498DB658" w:rsidR="0075434A" w:rsidRDefault="0075434A" w:rsidP="00FF40FF">
      <w:pPr>
        <w:pStyle w:val="ListBulletLessSpace"/>
      </w:pPr>
      <w:r w:rsidRPr="00B068A2">
        <w:t>Continue making the Yogyakarta Principles relevant, includ</w:t>
      </w:r>
      <w:r w:rsidR="00FF40FF">
        <w:t>ing in SDGs and data collection.</w:t>
      </w:r>
    </w:p>
    <w:p w14:paraId="22B31E32" w14:textId="2D648DD9" w:rsidR="0075434A" w:rsidRPr="00B068A2" w:rsidRDefault="00FF40FF" w:rsidP="00FE52D0">
      <w:pPr>
        <w:pStyle w:val="Heading5"/>
      </w:pPr>
      <w:r>
        <w:t>CSOs</w:t>
      </w:r>
    </w:p>
    <w:p w14:paraId="4C9A226E" w14:textId="7B7C17A7" w:rsidR="0075434A" w:rsidRPr="00B068A2" w:rsidRDefault="0075434A" w:rsidP="00FF40FF">
      <w:pPr>
        <w:pStyle w:val="ListBulletLessSpace"/>
      </w:pPr>
      <w:r w:rsidRPr="00B068A2">
        <w:t xml:space="preserve">CSOs and SDG Coalitions, in monitoring achievement of the SDGs, should push for </w:t>
      </w:r>
      <w:r>
        <w:t>SOGIESC</w:t>
      </w:r>
      <w:r w:rsidRPr="00B068A2">
        <w:t xml:space="preserve"> inclusion and lobby </w:t>
      </w:r>
      <w:r w:rsidR="00FF40FF">
        <w:t>governments for required action</w:t>
      </w:r>
    </w:p>
    <w:p w14:paraId="5027ADA0" w14:textId="77777777" w:rsidR="0075434A" w:rsidRPr="00B068A2" w:rsidRDefault="0075434A" w:rsidP="00FF40FF">
      <w:pPr>
        <w:pStyle w:val="ListBulletLessSpace"/>
      </w:pPr>
      <w:r w:rsidRPr="00B068A2">
        <w:t xml:space="preserve">Build on existing data in measuring LGBTI exclusion </w:t>
      </w:r>
    </w:p>
    <w:p w14:paraId="1D3CC0E6" w14:textId="62A44EC3" w:rsidR="0075434A" w:rsidRPr="00B068A2" w:rsidRDefault="0075434A" w:rsidP="00FF40FF">
      <w:pPr>
        <w:pStyle w:val="ListBulletLessSpace"/>
      </w:pPr>
      <w:r w:rsidRPr="00B068A2">
        <w:t xml:space="preserve">CSOs must use high level political entry points for SDGs (voluntary state reports) and use </w:t>
      </w:r>
      <w:r>
        <w:t xml:space="preserve">the </w:t>
      </w:r>
      <w:r w:rsidRPr="00B068A2">
        <w:t xml:space="preserve">Yogyakarta Principles to advocate </w:t>
      </w:r>
      <w:r>
        <w:t>SOGIESC</w:t>
      </w:r>
      <w:r w:rsidRPr="00B068A2">
        <w:t xml:space="preserve"> inclusion in </w:t>
      </w:r>
      <w:r>
        <w:t xml:space="preserve">the </w:t>
      </w:r>
      <w:r w:rsidRPr="00B068A2">
        <w:t>SDGs</w:t>
      </w:r>
      <w:r w:rsidR="00FF40FF">
        <w:t>.</w:t>
      </w:r>
    </w:p>
    <w:p w14:paraId="0A9DBCBA" w14:textId="451267AA" w:rsidR="0075434A" w:rsidRPr="00B068A2" w:rsidRDefault="00FF40FF" w:rsidP="00FE52D0">
      <w:pPr>
        <w:pStyle w:val="Heading5"/>
      </w:pPr>
      <w:r>
        <w:lastRenderedPageBreak/>
        <w:t>UN</w:t>
      </w:r>
    </w:p>
    <w:p w14:paraId="605DEA5C" w14:textId="77777777" w:rsidR="0075434A" w:rsidRPr="00B068A2" w:rsidRDefault="0075434A" w:rsidP="00FF40FF">
      <w:pPr>
        <w:pStyle w:val="ListBulletLessSpace"/>
      </w:pPr>
      <w:r w:rsidRPr="00B068A2">
        <w:t xml:space="preserve">UN Statistical Division should develop a </w:t>
      </w:r>
      <w:r>
        <w:t>SOGIESC</w:t>
      </w:r>
      <w:r w:rsidRPr="00B068A2">
        <w:t xml:space="preserve"> index, indicators and provide guidelines on the importance of consultation </w:t>
      </w:r>
    </w:p>
    <w:p w14:paraId="0DF4AD82" w14:textId="77777777" w:rsidR="0075434A" w:rsidRPr="00B068A2" w:rsidRDefault="0075434A" w:rsidP="00FF40FF">
      <w:pPr>
        <w:pStyle w:val="ListBulletLessSpace"/>
      </w:pPr>
      <w:r w:rsidRPr="00B068A2">
        <w:t>UNDP could develop an Inclusion Index</w:t>
      </w:r>
    </w:p>
    <w:p w14:paraId="7EB0FEC8" w14:textId="77777777" w:rsidR="0075434A" w:rsidRPr="00B068A2" w:rsidRDefault="0075434A" w:rsidP="00FF40FF">
      <w:pPr>
        <w:pStyle w:val="ListBulletLessSpace"/>
      </w:pPr>
      <w:r w:rsidRPr="00B068A2">
        <w:t>UN should recogn</w:t>
      </w:r>
      <w:r>
        <w:t>is</w:t>
      </w:r>
      <w:r w:rsidRPr="00B068A2">
        <w:t xml:space="preserve">e inclusion of LGBTI rights in </w:t>
      </w:r>
      <w:r>
        <w:t xml:space="preserve">the </w:t>
      </w:r>
      <w:r w:rsidRPr="00B068A2">
        <w:t>SDG progress reports</w:t>
      </w:r>
    </w:p>
    <w:p w14:paraId="672B4573" w14:textId="77777777" w:rsidR="0075434A" w:rsidRPr="00B068A2" w:rsidRDefault="0075434A" w:rsidP="00FF40FF">
      <w:pPr>
        <w:pStyle w:val="ListBulletLessSpace"/>
      </w:pPr>
      <w:r w:rsidRPr="00B068A2">
        <w:t xml:space="preserve">UN should make </w:t>
      </w:r>
      <w:r>
        <w:t xml:space="preserve">the </w:t>
      </w:r>
      <w:r w:rsidRPr="00B068A2">
        <w:t>SDGs more accessible at the ground level</w:t>
      </w:r>
    </w:p>
    <w:p w14:paraId="0214444B" w14:textId="77777777" w:rsidR="0075434A" w:rsidRPr="00B068A2" w:rsidRDefault="0075434A" w:rsidP="00FF40FF">
      <w:pPr>
        <w:pStyle w:val="ListBulletLessSpace"/>
      </w:pPr>
      <w:r w:rsidRPr="00B068A2">
        <w:t xml:space="preserve">UN Secretary General can make a report on the status of </w:t>
      </w:r>
      <w:r>
        <w:t>SOGIESC</w:t>
      </w:r>
    </w:p>
    <w:p w14:paraId="5E8C99DB" w14:textId="6E1FAF4F" w:rsidR="0075434A" w:rsidRPr="00B068A2" w:rsidRDefault="0075434A" w:rsidP="00FF40FF">
      <w:pPr>
        <w:pStyle w:val="ListBulletLessSpace"/>
      </w:pPr>
      <w:r w:rsidRPr="00B068A2">
        <w:t>Enable CSOs and NHRIs to know focal points in each country (use assessment of planning agencies for the advocacy process)</w:t>
      </w:r>
      <w:r w:rsidR="00FF40FF">
        <w:t>.</w:t>
      </w:r>
    </w:p>
    <w:p w14:paraId="44C8D9B5" w14:textId="77777777" w:rsidR="0075434A" w:rsidRDefault="0075434A" w:rsidP="00701490">
      <w:pPr>
        <w:pStyle w:val="Heading2"/>
      </w:pPr>
      <w:bookmarkStart w:id="77" w:name="_Toc489441327"/>
      <w:bookmarkStart w:id="78" w:name="_Toc491332780"/>
      <w:r w:rsidRPr="00B068A2">
        <w:t>Session 7: Closing address and remarks</w:t>
      </w:r>
      <w:bookmarkEnd w:id="77"/>
      <w:bookmarkEnd w:id="78"/>
      <w:r w:rsidRPr="00B068A2">
        <w:t xml:space="preserve"> </w:t>
      </w:r>
    </w:p>
    <w:p w14:paraId="6CE23EF6" w14:textId="5860E27E" w:rsidR="00FF40FF" w:rsidRPr="00FF40FF" w:rsidRDefault="00FF40FF" w:rsidP="00FF40FF">
      <w:pPr>
        <w:pStyle w:val="NormalTextBox"/>
        <w:rPr>
          <w:sz w:val="20"/>
          <w:szCs w:val="20"/>
        </w:rPr>
      </w:pPr>
      <w:r w:rsidRPr="00FF40FF">
        <w:rPr>
          <w:b/>
          <w:sz w:val="20"/>
          <w:szCs w:val="20"/>
        </w:rPr>
        <w:t>Keynote closing address</w:t>
      </w:r>
      <w:r w:rsidRPr="00FF40FF">
        <w:rPr>
          <w:b/>
          <w:sz w:val="20"/>
          <w:szCs w:val="20"/>
        </w:rPr>
        <w:br/>
      </w:r>
      <w:r w:rsidRPr="00FF40FF">
        <w:rPr>
          <w:sz w:val="20"/>
          <w:szCs w:val="20"/>
        </w:rPr>
        <w:t>Sonia Onufer Corrêa, Co-chair of Sexuality Policy Watch</w:t>
      </w:r>
    </w:p>
    <w:p w14:paraId="28856E79" w14:textId="12188BD5" w:rsidR="00FF40FF" w:rsidRPr="00FF40FF" w:rsidRDefault="00FF40FF" w:rsidP="00FF40FF">
      <w:pPr>
        <w:pStyle w:val="NormalTextBox"/>
        <w:spacing w:after="120"/>
        <w:rPr>
          <w:sz w:val="20"/>
          <w:szCs w:val="20"/>
        </w:rPr>
      </w:pPr>
      <w:r w:rsidRPr="00FF40FF">
        <w:rPr>
          <w:b/>
          <w:sz w:val="20"/>
          <w:szCs w:val="20"/>
        </w:rPr>
        <w:t>Closing reflections</w:t>
      </w:r>
      <w:r w:rsidRPr="00FF40FF">
        <w:rPr>
          <w:b/>
          <w:sz w:val="20"/>
          <w:szCs w:val="20"/>
        </w:rPr>
        <w:br/>
      </w:r>
      <w:r w:rsidRPr="00FF40FF">
        <w:rPr>
          <w:sz w:val="20"/>
          <w:szCs w:val="20"/>
        </w:rPr>
        <w:t xml:space="preserve">Luc Stevens, UN Resident Coordinator </w:t>
      </w:r>
      <w:r>
        <w:rPr>
          <w:sz w:val="20"/>
          <w:szCs w:val="20"/>
        </w:rPr>
        <w:t>and</w:t>
      </w:r>
      <w:r w:rsidRPr="00FF40FF">
        <w:rPr>
          <w:sz w:val="20"/>
          <w:szCs w:val="20"/>
        </w:rPr>
        <w:t xml:space="preserve"> UNDP Resident Representative</w:t>
      </w:r>
    </w:p>
    <w:p w14:paraId="21EBDC98" w14:textId="77777777" w:rsidR="00FF40FF" w:rsidRPr="00FF40FF" w:rsidRDefault="00FF40FF" w:rsidP="00FF40FF">
      <w:pPr>
        <w:pStyle w:val="NormalTextBox"/>
        <w:spacing w:before="120" w:after="120"/>
        <w:rPr>
          <w:sz w:val="20"/>
          <w:szCs w:val="20"/>
        </w:rPr>
      </w:pPr>
      <w:r w:rsidRPr="00FF40FF">
        <w:rPr>
          <w:sz w:val="20"/>
          <w:szCs w:val="20"/>
        </w:rPr>
        <w:t xml:space="preserve">Midnight Poonkasetwattana, Executive Director, APCOM </w:t>
      </w:r>
    </w:p>
    <w:p w14:paraId="707A7561" w14:textId="77777777" w:rsidR="00FF40FF" w:rsidRPr="00FF40FF" w:rsidRDefault="00FF40FF" w:rsidP="00FF40FF">
      <w:pPr>
        <w:pStyle w:val="NormalTextBox"/>
        <w:spacing w:before="120" w:after="120"/>
        <w:rPr>
          <w:sz w:val="20"/>
          <w:szCs w:val="20"/>
        </w:rPr>
      </w:pPr>
      <w:r w:rsidRPr="00FF40FF">
        <w:rPr>
          <w:sz w:val="20"/>
          <w:szCs w:val="20"/>
        </w:rPr>
        <w:t xml:space="preserve">Nadika Nadja, Working Group Member, Sampoorna </w:t>
      </w:r>
    </w:p>
    <w:p w14:paraId="24F5F2FD" w14:textId="77777777" w:rsidR="00FF40FF" w:rsidRPr="00FF40FF" w:rsidRDefault="00FF40FF" w:rsidP="00FF40FF">
      <w:pPr>
        <w:pStyle w:val="NormalTextBox"/>
        <w:spacing w:before="120"/>
        <w:rPr>
          <w:sz w:val="20"/>
          <w:szCs w:val="20"/>
        </w:rPr>
      </w:pPr>
      <w:r w:rsidRPr="00FF40FF">
        <w:rPr>
          <w:sz w:val="20"/>
          <w:szCs w:val="20"/>
        </w:rPr>
        <w:t>Hiker Chiu, Founder, OII Chinese</w:t>
      </w:r>
    </w:p>
    <w:p w14:paraId="0A77AB5B" w14:textId="6E645FFA" w:rsidR="00FF40FF" w:rsidRPr="00FF40FF" w:rsidRDefault="00FF40FF" w:rsidP="00FF40FF">
      <w:pPr>
        <w:pStyle w:val="NormalTextBox"/>
        <w:rPr>
          <w:sz w:val="20"/>
          <w:szCs w:val="20"/>
        </w:rPr>
      </w:pPr>
      <w:r w:rsidRPr="00FF40FF">
        <w:rPr>
          <w:b/>
          <w:sz w:val="20"/>
          <w:szCs w:val="20"/>
        </w:rPr>
        <w:t>Moderator</w:t>
      </w:r>
      <w:r w:rsidRPr="00FF40FF">
        <w:rPr>
          <w:b/>
          <w:sz w:val="20"/>
          <w:szCs w:val="20"/>
        </w:rPr>
        <w:br/>
      </w:r>
      <w:r w:rsidRPr="00FF40FF">
        <w:rPr>
          <w:sz w:val="20"/>
          <w:szCs w:val="20"/>
        </w:rPr>
        <w:t xml:space="preserve">Pip Dargan, Deputy Director, Asia Pacific Forum of National Human Rights Institutions </w:t>
      </w:r>
    </w:p>
    <w:p w14:paraId="1F700845" w14:textId="77777777" w:rsidR="0075434A" w:rsidRPr="00B068A2" w:rsidRDefault="0075434A" w:rsidP="00FF40FF">
      <w:pPr>
        <w:pStyle w:val="Normalspacebefore"/>
      </w:pPr>
      <w:r w:rsidRPr="00B068A2">
        <w:t>The closing session was aimed at reflecting on the challenges and exploring the way forward –</w:t>
      </w:r>
      <w:r>
        <w:t xml:space="preserve"> </w:t>
      </w:r>
      <w:r w:rsidRPr="00B068A2">
        <w:t>“</w:t>
      </w:r>
      <w:r>
        <w:t xml:space="preserve">where to now?” To start the session, </w:t>
      </w:r>
      <w:r w:rsidRPr="00B068A2">
        <w:t xml:space="preserve">Sonia Onufer Corrêa addressed a number of key challenges and potentialities in the revision and application of the Yogyakarta Principles in the future, with a clear linkage </w:t>
      </w:r>
      <w:r>
        <w:t xml:space="preserve">between </w:t>
      </w:r>
      <w:r w:rsidRPr="00B068A2">
        <w:t xml:space="preserve">the past and the present. </w:t>
      </w:r>
    </w:p>
    <w:p w14:paraId="27FA02CE" w14:textId="77777777" w:rsidR="0075434A" w:rsidRPr="00B068A2" w:rsidRDefault="0075434A" w:rsidP="00FE52D0">
      <w:r w:rsidRPr="00B068A2">
        <w:t>The importance of retracing the genealogy of the Yogyakarta Principles in relation to human rights epistemologies as well as the articulation of human rights, genders and sexualities was highlighted. The contribution of feminist theory on sexuality constructs, heteronormativity and bodily integrity was emphas</w:t>
      </w:r>
      <w:r>
        <w:t>is</w:t>
      </w:r>
      <w:r w:rsidRPr="00B068A2">
        <w:t xml:space="preserve">ed, </w:t>
      </w:r>
      <w:r>
        <w:t xml:space="preserve">alongside </w:t>
      </w:r>
      <w:r w:rsidRPr="00B068A2">
        <w:t>the trans-theor</w:t>
      </w:r>
      <w:r>
        <w:t>is</w:t>
      </w:r>
      <w:r w:rsidRPr="00B068A2">
        <w:t xml:space="preserve">ing critique of the gender binary in the common human rights language. </w:t>
      </w:r>
    </w:p>
    <w:p w14:paraId="3D4A541B" w14:textId="470CA7EB" w:rsidR="0075434A" w:rsidRPr="00B068A2" w:rsidRDefault="0075434A" w:rsidP="00FE52D0">
      <w:r w:rsidRPr="00B068A2">
        <w:t>The world conditions were not exactly perfect when the Principles were crafted ten years ago. Obstacles in respect to adopting language on human rights and sexual orientation and gender identity in these intergovernmental negotiations were massive, as it became clear in the episode of the failed resolution tabled by Brazil in 2003. However, the landscape still remains challenging, as indicated by the continuing violence and discrimination in many parts of the world. The shrinking civil society spaces, the continuous growth and diffusion of politic</w:t>
      </w:r>
      <w:r>
        <w:t>is</w:t>
      </w:r>
      <w:r w:rsidRPr="00B068A2">
        <w:t xml:space="preserve">ed religious dogmatism and morality, the erosion of secularity, </w:t>
      </w:r>
      <w:r>
        <w:t>and</w:t>
      </w:r>
      <w:r w:rsidRPr="00B068A2">
        <w:t xml:space="preserve"> increasing violations by non-state actors are among these challenges.</w:t>
      </w:r>
      <w:r w:rsidR="00F3764F">
        <w:t xml:space="preserve"> </w:t>
      </w:r>
    </w:p>
    <w:p w14:paraId="67895D48" w14:textId="57091843" w:rsidR="0075434A" w:rsidRPr="00B068A2" w:rsidRDefault="0075434A" w:rsidP="00FE52D0">
      <w:r w:rsidRPr="00B068A2">
        <w:t>Increased inequalities and contradictory logic</w:t>
      </w:r>
      <w:r>
        <w:t>s</w:t>
      </w:r>
      <w:r w:rsidRPr="00B068A2">
        <w:t xml:space="preserve"> of inclusion and exclusion deriving from the ways in which late capitalism ord</w:t>
      </w:r>
      <w:r>
        <w:t>ers</w:t>
      </w:r>
      <w:r w:rsidRPr="00B068A2">
        <w:t xml:space="preserve"> the world, have been feeding the revivals of entrenched sovereignty, populism and authoritarianism and the potential threats against international and regional human rights systems. The need to use more energy and inspiration to continue to move forward in promoting the </w:t>
      </w:r>
      <w:r>
        <w:t>P</w:t>
      </w:r>
      <w:r w:rsidRPr="00B068A2">
        <w:t xml:space="preserve">rinciples and the necessity to expand and intensify </w:t>
      </w:r>
      <w:r w:rsidRPr="00B068A2">
        <w:lastRenderedPageBreak/>
        <w:t>hor</w:t>
      </w:r>
      <w:r>
        <w:t>iz</w:t>
      </w:r>
      <w:r w:rsidRPr="00B068A2">
        <w:t>ontal cross-boundary communication about losses, gains and strategies of resistance cannot be ignored.</w:t>
      </w:r>
      <w:r w:rsidR="00F3764F">
        <w:t xml:space="preserve"> </w:t>
      </w:r>
    </w:p>
    <w:p w14:paraId="1BCC8C51" w14:textId="77777777" w:rsidR="0075434A" w:rsidRPr="00B068A2" w:rsidRDefault="0075434A" w:rsidP="00FE52D0">
      <w:r w:rsidRPr="00B068A2">
        <w:t xml:space="preserve">Bringing the Yogyakarta Principles closer to the people on the ground and especially to those who most need it was underlined. Translating the principles to more accessible language, and to transcribe them in an emotional language are expected to enhance their ownership. </w:t>
      </w:r>
    </w:p>
    <w:p w14:paraId="112FCE41" w14:textId="77777777" w:rsidR="0075434A" w:rsidRPr="00B068A2" w:rsidRDefault="0075434A" w:rsidP="00FE52D0">
      <w:r w:rsidRPr="00B068A2">
        <w:t xml:space="preserve">The gap between norms and reality needs to be bridged. While converting the Yogyakarta Principles to a binding international instrument may help in this regard, there do not seem to be the right conditions for such a change. Rather, making the </w:t>
      </w:r>
      <w:r>
        <w:t>P</w:t>
      </w:r>
      <w:r w:rsidRPr="00B068A2">
        <w:t xml:space="preserve">rinciples more ‘binding’ through the work of Human Rights Committees, Universal Periodical </w:t>
      </w:r>
      <w:r>
        <w:t>R</w:t>
      </w:r>
      <w:r w:rsidRPr="00B068A2">
        <w:t>eview processes and other mechanisms may be the way forward. Similarly, infusing or spreading the spirit of the Principles within the existing international instruments may be more effective. In view of the many intractable challenges in real</w:t>
      </w:r>
      <w:r>
        <w:t>is</w:t>
      </w:r>
      <w:r w:rsidRPr="00B068A2">
        <w:t>ing human rights in many parts of the world, we must remind ourselves that human rights are at once indispensable and often insufficient. Yet, there is also the need to conceptually and programmatically revise the Principles.</w:t>
      </w:r>
    </w:p>
    <w:p w14:paraId="72084A62" w14:textId="77777777" w:rsidR="0075434A" w:rsidRPr="00B068A2" w:rsidRDefault="0075434A" w:rsidP="00FE52D0">
      <w:r w:rsidRPr="00B068A2">
        <w:t>Recogn</w:t>
      </w:r>
      <w:r>
        <w:t>is</w:t>
      </w:r>
      <w:r w:rsidRPr="00B068A2">
        <w:t>ing</w:t>
      </w:r>
      <w:r>
        <w:t xml:space="preserve"> the</w:t>
      </w:r>
      <w:r w:rsidRPr="00B068A2">
        <w:t xml:space="preserve"> universality of </w:t>
      </w:r>
      <w:r>
        <w:t xml:space="preserve">human </w:t>
      </w:r>
      <w:r w:rsidRPr="00B068A2">
        <w:t>rights still remains a challenge; yet, there is also the need to appreciate that universality is often used selectively as an instrument of domination. Therefore, when we claim universality, we must also chart and value the multiple cultural narratives on being oneself and belonging to communities, especially in</w:t>
      </w:r>
      <w:r>
        <w:t xml:space="preserve"> terms</w:t>
      </w:r>
      <w:r w:rsidRPr="00B068A2">
        <w:t xml:space="preserve"> of juridical and jurisprudential research and thinking.</w:t>
      </w:r>
    </w:p>
    <w:p w14:paraId="431A8956" w14:textId="77777777" w:rsidR="0075434A" w:rsidRPr="00B068A2" w:rsidRDefault="0075434A" w:rsidP="00FE52D0">
      <w:r w:rsidRPr="00B068A2">
        <w:t>The problem of state and state-centrism as well as challenges in state engagement remain contentious. States may respond positively in regard to one domain of rights, while at the same time being complicit to violations in other critical areas. State behaviors could also be highly inconsistent between global and national arenas. Given their complex and contradictory structures, states must be seen as battlefields in which many powers and interests are always at play.</w:t>
      </w:r>
    </w:p>
    <w:p w14:paraId="6C138C45" w14:textId="77777777" w:rsidR="0075434A" w:rsidRPr="00B068A2" w:rsidRDefault="0075434A" w:rsidP="00FE52D0">
      <w:r w:rsidRPr="00B068A2">
        <w:t xml:space="preserve">The domain of market forces, which often amplify or restrict the prerogatives and entitlements in relation to sexual rights, is also crucial especially with the increasing role of the private sector and free market players. </w:t>
      </w:r>
      <w:r>
        <w:t>T</w:t>
      </w:r>
      <w:r w:rsidRPr="00B068A2">
        <w:t>he intrinsic tendency of market forces in the creation and recreation of inequalities further complicates the efforts to change government policy, especially in relation to discrimination. The increasingly forcible religious and dogmatic ideologies make the effective real</w:t>
      </w:r>
      <w:r>
        <w:t>is</w:t>
      </w:r>
      <w:r w:rsidRPr="00B068A2">
        <w:t xml:space="preserve">ation of human rights in the realms of genders and sexualities all the more challenging. </w:t>
      </w:r>
    </w:p>
    <w:p w14:paraId="44F91FB6" w14:textId="77777777" w:rsidR="0075434A" w:rsidRPr="00B068A2" w:rsidRDefault="0075434A" w:rsidP="00FE52D0">
      <w:r>
        <w:t>I</w:t>
      </w:r>
      <w:r w:rsidRPr="00B068A2">
        <w:t>ntersectionality is identified as one of the main challenges ahead, especially in the context of</w:t>
      </w:r>
      <w:r>
        <w:t xml:space="preserve"> the</w:t>
      </w:r>
      <w:r w:rsidRPr="00B068A2">
        <w:t xml:space="preserve"> intersectionality of discrimination. Markers of individual characteristics are linked to structural hierarchies intrinsically connected with the patterns of persistent or recreated inequalities previously underlined</w:t>
      </w:r>
      <w:r>
        <w:t>,</w:t>
      </w:r>
      <w:r w:rsidRPr="00B068A2">
        <w:t xml:space="preserve"> which cut across the groups and communities that are to be potentially protected by the Principles. </w:t>
      </w:r>
      <w:r>
        <w:t xml:space="preserve">Aspects of normative violence </w:t>
      </w:r>
      <w:r w:rsidRPr="00B068A2">
        <w:t xml:space="preserve">derived from religious </w:t>
      </w:r>
      <w:r>
        <w:t>interpretations</w:t>
      </w:r>
      <w:r w:rsidRPr="00B068A2">
        <w:t xml:space="preserve">, biomedical categories, among others, </w:t>
      </w:r>
      <w:r>
        <w:t>often manifest</w:t>
      </w:r>
      <w:r w:rsidRPr="00B068A2">
        <w:t xml:space="preserve"> in the form of </w:t>
      </w:r>
      <w:proofErr w:type="spellStart"/>
      <w:r w:rsidRPr="00B068A2">
        <w:t>patholog</w:t>
      </w:r>
      <w:r>
        <w:t>is</w:t>
      </w:r>
      <w:r w:rsidRPr="00B068A2">
        <w:t>ing</w:t>
      </w:r>
      <w:proofErr w:type="spellEnd"/>
      <w:r w:rsidRPr="00B068A2">
        <w:t xml:space="preserve"> trans</w:t>
      </w:r>
      <w:r>
        <w:t>-</w:t>
      </w:r>
      <w:r w:rsidRPr="00B068A2">
        <w:t xml:space="preserve"> and intersex people. In view of these challenges, there is wide room for intersectional work across various domains in respect to the revision and application of the Principles. Ongoing efforts in relation to the criminal law dimensions of criminal</w:t>
      </w:r>
      <w:r>
        <w:t>is</w:t>
      </w:r>
      <w:r w:rsidRPr="00B068A2">
        <w:t>ation of same sex relation, abortion and pregnancy, sex work, adultery, HIV transmission and drug use are also essential to ensuring the effective promotion of the Yogyakarta Principles.</w:t>
      </w:r>
    </w:p>
    <w:p w14:paraId="244271A5" w14:textId="6339205B" w:rsidR="0075434A" w:rsidRPr="00B068A2" w:rsidRDefault="0075434A" w:rsidP="00FE52D0">
      <w:r>
        <w:t xml:space="preserve">Three speakers were then invited to give short closing reflections. </w:t>
      </w:r>
      <w:r w:rsidRPr="00B068A2">
        <w:t>Midnight Poonkasetwattana remarked on the importance of building a community and the feeling of being part of a community. In order to fully real</w:t>
      </w:r>
      <w:r>
        <w:t>is</w:t>
      </w:r>
      <w:r w:rsidRPr="00B068A2">
        <w:t xml:space="preserve">e the benefits envisioned in the Yogyakarta Principles, they must be community-owned, especially given that the </w:t>
      </w:r>
      <w:r>
        <w:t>P</w:t>
      </w:r>
      <w:r w:rsidRPr="00B068A2">
        <w:t>rinciples are based on the needs and struggles of the community.</w:t>
      </w:r>
      <w:r w:rsidR="00F3764F">
        <w:t xml:space="preserve"> </w:t>
      </w:r>
    </w:p>
    <w:p w14:paraId="240E8954" w14:textId="77777777" w:rsidR="0075434A" w:rsidRPr="00B068A2" w:rsidRDefault="0075434A" w:rsidP="00FE52D0">
      <w:r w:rsidRPr="00B068A2">
        <w:lastRenderedPageBreak/>
        <w:t>There is an urgent need to priorit</w:t>
      </w:r>
      <w:r>
        <w:t>is</w:t>
      </w:r>
      <w:r w:rsidRPr="00B068A2">
        <w:t xml:space="preserve">e the programmes and activities in the promotion of the </w:t>
      </w:r>
      <w:r>
        <w:t>P</w:t>
      </w:r>
      <w:r w:rsidRPr="00B068A2">
        <w:t xml:space="preserve">rinciples, and </w:t>
      </w:r>
      <w:r>
        <w:t xml:space="preserve">to </w:t>
      </w:r>
      <w:r w:rsidRPr="00B068A2">
        <w:t>identify the potential sources of funds for future activities. It is also vital to recogn</w:t>
      </w:r>
      <w:r>
        <w:t>is</w:t>
      </w:r>
      <w:r w:rsidRPr="00B068A2">
        <w:t xml:space="preserve">e that institutions and mechanisms that are supposed to be supportive are </w:t>
      </w:r>
      <w:r>
        <w:t xml:space="preserve">often </w:t>
      </w:r>
      <w:r w:rsidRPr="00B068A2">
        <w:t>not when the need is highest</w:t>
      </w:r>
      <w:r>
        <w:t>. This calls for support institutions to</w:t>
      </w:r>
      <w:r w:rsidRPr="00B068A2">
        <w:t xml:space="preserve"> maintain focus and vigilance</w:t>
      </w:r>
      <w:r>
        <w:t xml:space="preserve"> at all times</w:t>
      </w:r>
      <w:r w:rsidRPr="00B068A2">
        <w:t>. What can be organ</w:t>
      </w:r>
      <w:r>
        <w:t>is</w:t>
      </w:r>
      <w:r w:rsidRPr="00B068A2">
        <w:t xml:space="preserve">ed at the national and regional levels and what </w:t>
      </w:r>
      <w:r>
        <w:t xml:space="preserve">can </w:t>
      </w:r>
      <w:r w:rsidRPr="00B068A2">
        <w:t>regional and international organ</w:t>
      </w:r>
      <w:r>
        <w:t>is</w:t>
      </w:r>
      <w:r w:rsidRPr="00B068A2">
        <w:t xml:space="preserve">ations do to sustain the efforts to promote the </w:t>
      </w:r>
      <w:r>
        <w:t>P</w:t>
      </w:r>
      <w:r w:rsidRPr="00B068A2">
        <w:t>rinciples and the protection they offer</w:t>
      </w:r>
      <w:r>
        <w:t>?</w:t>
      </w:r>
    </w:p>
    <w:p w14:paraId="5CB732CE" w14:textId="77777777" w:rsidR="0075434A" w:rsidRPr="00B068A2" w:rsidRDefault="0075434A" w:rsidP="00FE52D0">
      <w:r w:rsidRPr="00B068A2">
        <w:t xml:space="preserve">Developing more innovative ways to engage with the wider community and building and strengthening partnerships must be explored. As stressed by many speakers earlier, translating the Yogyakarta Principles into simple language that people can understand and appreciate need to be a key area of attention, which would help achieve more inclusion in the community. Taking time to think about the future challenges and tasks in relation to the </w:t>
      </w:r>
      <w:r>
        <w:t>P</w:t>
      </w:r>
      <w:r w:rsidRPr="00B068A2">
        <w:t xml:space="preserve">rinciples and building stronger partnerships with the community should be given priority. </w:t>
      </w:r>
    </w:p>
    <w:p w14:paraId="7B24FA20" w14:textId="4D8FF8F8" w:rsidR="0075434A" w:rsidRPr="00B068A2" w:rsidRDefault="0075434A" w:rsidP="00FE52D0">
      <w:r w:rsidRPr="00B068A2">
        <w:t>Nadika Nadja pointed out to the few dark corners that people don’t see, especially raising the question as to what we are potentially leaving out of our discussion and work. The idea of using proper definitions and clear language in relation to sexual orientation and gender identity – including questions such as what is trans</w:t>
      </w:r>
      <w:r w:rsidR="00F3764F">
        <w:t xml:space="preserve"> –</w:t>
      </w:r>
      <w:r w:rsidRPr="00B068A2">
        <w:t xml:space="preserve"> and what is intersex – must be addressed. However, while the scrambling to better understand the issues, we must not lose sight of what is important and urgent in achieving equal dignity and rights for everyone. </w:t>
      </w:r>
    </w:p>
    <w:p w14:paraId="549C900A" w14:textId="77777777" w:rsidR="0075434A" w:rsidRPr="00B068A2" w:rsidRDefault="0075434A" w:rsidP="00FE52D0">
      <w:r>
        <w:t>E</w:t>
      </w:r>
      <w:r w:rsidRPr="00B068A2">
        <w:t>xperience</w:t>
      </w:r>
      <w:r>
        <w:t>s</w:t>
      </w:r>
      <w:r w:rsidRPr="00B068A2">
        <w:t xml:space="preserve"> in the past shows that although, love is the basis of human rights, we cannot just leave it to love. We must also recogn</w:t>
      </w:r>
      <w:r>
        <w:t>is</w:t>
      </w:r>
      <w:r w:rsidRPr="00B068A2">
        <w:t>e that sometimes love is also responsible for some suffering – including within the family. This is often the case when families fail to recogn</w:t>
      </w:r>
      <w:r>
        <w:t>is</w:t>
      </w:r>
      <w:r w:rsidRPr="00B068A2">
        <w:t>e</w:t>
      </w:r>
      <w:r>
        <w:t xml:space="preserve"> the rights of the</w:t>
      </w:r>
      <w:r w:rsidRPr="00B068A2">
        <w:t xml:space="preserve"> individual and enforce preconceived values on individuals. Although these acts are often carried out in the name of love, they go against the very principle of human dignity and rights. </w:t>
      </w:r>
    </w:p>
    <w:p w14:paraId="154EB790" w14:textId="77777777" w:rsidR="0075434A" w:rsidRPr="00B068A2" w:rsidRDefault="0075434A" w:rsidP="00FE52D0">
      <w:r w:rsidRPr="00B068A2">
        <w:t xml:space="preserve">Translating the Yogyakarta Principles into local languages must also </w:t>
      </w:r>
      <w:r>
        <w:t xml:space="preserve">take into </w:t>
      </w:r>
      <w:r w:rsidRPr="00B068A2">
        <w:t>consideration that such translation must be reflective of the local context and traditions. The customs, traditions and values embedded in societies play a significant role in one’s ability to define gender identity and sexual orientation. They are also to a large extent influenced by the culturally defined cast</w:t>
      </w:r>
      <w:r>
        <w:t>e</w:t>
      </w:r>
      <w:r w:rsidRPr="00B068A2">
        <w:t xml:space="preserve">s and hierarchies. Therefore, critiquing the Yogyakarta Principles must be carried out in a more culturally relevant approach. </w:t>
      </w:r>
    </w:p>
    <w:p w14:paraId="07E4C052" w14:textId="77777777" w:rsidR="0075434A" w:rsidRPr="00B068A2" w:rsidRDefault="0075434A" w:rsidP="00FE52D0">
      <w:r w:rsidRPr="00B068A2">
        <w:t xml:space="preserve">Hiker Chiu articulated the ability and opportunity for intersex people to partner with others and attend events to promote their rights. While the cultural alienation of LGBTI </w:t>
      </w:r>
      <w:r>
        <w:t xml:space="preserve">people </w:t>
      </w:r>
      <w:r w:rsidRPr="00B068A2">
        <w:t>has been in the increase in many parts of Asia, the concept</w:t>
      </w:r>
      <w:r>
        <w:t>s</w:t>
      </w:r>
      <w:r w:rsidRPr="00B068A2">
        <w:t xml:space="preserve"> of sexual orientation and gender identity in general may be easier to infuse within the cultural context and values. Such an approach could be useful in expanding inclusivity. </w:t>
      </w:r>
    </w:p>
    <w:p w14:paraId="6DB2B552" w14:textId="77777777" w:rsidR="0075434A" w:rsidRPr="00B068A2" w:rsidRDefault="0075434A" w:rsidP="00FE52D0">
      <w:r w:rsidRPr="00B068A2">
        <w:t xml:space="preserve">The language of </w:t>
      </w:r>
      <w:r>
        <w:t xml:space="preserve">the </w:t>
      </w:r>
      <w:r w:rsidRPr="00B068A2">
        <w:t xml:space="preserve">Yogyakarta Principles in human rights law must be better aligned with the language and the cultural context, as highlighted by many speakers before. While the concepts and content of </w:t>
      </w:r>
      <w:r>
        <w:t xml:space="preserve">Principle </w:t>
      </w:r>
      <w:r w:rsidRPr="00B068A2">
        <w:t xml:space="preserve">are often seen as a voice from highly academic people – more grassroots level people should be involved in its application and discourse. </w:t>
      </w:r>
    </w:p>
    <w:p w14:paraId="7BE2F915" w14:textId="77777777" w:rsidR="0075434A" w:rsidRPr="00B068A2" w:rsidRDefault="0075434A" w:rsidP="00FE52D0">
      <w:r w:rsidRPr="00B068A2">
        <w:t xml:space="preserve">The issue of intersectionality must be given more attention, as discussed by many others. Human rights advocates need to strengthen their collective ability to help LGBTI people who are in need of help. In countries where there are no NHRIs, there is the need to develop and strengthen this informal channel further. The government’s commitment to human rights education – including </w:t>
      </w:r>
      <w:r>
        <w:t xml:space="preserve">the Principles </w:t>
      </w:r>
      <w:r w:rsidRPr="00B068A2">
        <w:t>– need</w:t>
      </w:r>
      <w:r>
        <w:t>s</w:t>
      </w:r>
      <w:r w:rsidRPr="00B068A2">
        <w:t xml:space="preserve"> to be identified as a focus area for future intervention. This would be essential in making the </w:t>
      </w:r>
      <w:r>
        <w:t>P</w:t>
      </w:r>
      <w:r w:rsidRPr="00B068A2">
        <w:t xml:space="preserve">rinciples more user-friendly. </w:t>
      </w:r>
    </w:p>
    <w:p w14:paraId="4D7A82DB" w14:textId="77777777" w:rsidR="0075434A" w:rsidRPr="00B068A2" w:rsidRDefault="0075434A" w:rsidP="00FE52D0">
      <w:r w:rsidRPr="00B068A2">
        <w:lastRenderedPageBreak/>
        <w:t>The future for sexuality and sexual freedom was questioned by speakers in view of the struggles and continued resistance ahead. While there is a cultural transformation on the way – despite huge barriers, we are going through a revival of a geopolitical gender and sexuality orders. Although the concepts and notions of gender and sexuality have been very stable, these structures have been destabil</w:t>
      </w:r>
      <w:r>
        <w:t>is</w:t>
      </w:r>
      <w:r w:rsidRPr="00B068A2">
        <w:t>ed in recent times and there may be a reaction to this. With the changes in society and organ</w:t>
      </w:r>
      <w:r>
        <w:t>is</w:t>
      </w:r>
      <w:r w:rsidRPr="00B068A2">
        <w:t>ations and the ongoing revolutions in communication, there ha</w:t>
      </w:r>
      <w:r>
        <w:t>ve</w:t>
      </w:r>
      <w:r w:rsidRPr="00B068A2">
        <w:t xml:space="preserve"> been increasing efforts to reorder the world </w:t>
      </w:r>
      <w:r>
        <w:t>to maintain a status quo</w:t>
      </w:r>
      <w:r w:rsidRPr="00B068A2">
        <w:t>. With more and more information made easily available, there is room for change, both in positive and negative ways. Often, the forces of opposition are very strong, with significant resources and energy; therefore, countering this emergent threat will be a big battle which would require a new way of thinking and detailed maps to navigate.</w:t>
      </w:r>
    </w:p>
    <w:p w14:paraId="6FFAD882" w14:textId="77777777" w:rsidR="0075434A" w:rsidRPr="00B068A2" w:rsidRDefault="0075434A" w:rsidP="00FE52D0">
      <w:r w:rsidRPr="00B068A2">
        <w:t xml:space="preserve">A strong and well-informed critique of human rights can be essential in reviving its spirit. There is the need to question: what is the imagination of resistance? And how does it link to the work of </w:t>
      </w:r>
      <w:r>
        <w:t>human rights advocates</w:t>
      </w:r>
      <w:r w:rsidRPr="00B068A2">
        <w:t>, and how do you expand your imagination? There is also the need to constantly understand and recogn</w:t>
      </w:r>
      <w:r>
        <w:t>is</w:t>
      </w:r>
      <w:r w:rsidRPr="00B068A2">
        <w:t xml:space="preserve">e the limitations of </w:t>
      </w:r>
      <w:r>
        <w:t>the Principles</w:t>
      </w:r>
      <w:r w:rsidRPr="00B068A2">
        <w:t xml:space="preserve">, and to continue recreating </w:t>
      </w:r>
      <w:r>
        <w:t>their</w:t>
      </w:r>
      <w:r w:rsidRPr="00B068A2">
        <w:t xml:space="preserve"> norms and practices.</w:t>
      </w:r>
    </w:p>
    <w:p w14:paraId="0550E1F9" w14:textId="77777777" w:rsidR="0075434A" w:rsidRPr="00B068A2" w:rsidRDefault="0075434A" w:rsidP="00FE52D0">
      <w:r w:rsidRPr="00B068A2">
        <w:t>We need to recogn</w:t>
      </w:r>
      <w:r>
        <w:t>is</w:t>
      </w:r>
      <w:r w:rsidRPr="00B068A2">
        <w:t xml:space="preserve">e that law is not exactly justice – rights </w:t>
      </w:r>
      <w:proofErr w:type="gramStart"/>
      <w:r w:rsidRPr="00B068A2">
        <w:t>is</w:t>
      </w:r>
      <w:proofErr w:type="gramEnd"/>
      <w:r w:rsidRPr="00B068A2">
        <w:t xml:space="preserve"> not justice – it is a long term horizon. Therefore, we must also give due consideration to the limits of justice, in the application of both theory and practice – within the context of broader human rights in general and </w:t>
      </w:r>
      <w:r>
        <w:t>the human rights of LGBTI people</w:t>
      </w:r>
      <w:r w:rsidRPr="00B068A2">
        <w:t xml:space="preserve"> in specific. </w:t>
      </w:r>
    </w:p>
    <w:p w14:paraId="0AF9D2EB" w14:textId="77777777" w:rsidR="0075434A" w:rsidRPr="00B068A2" w:rsidRDefault="0075434A" w:rsidP="00FE52D0">
      <w:r w:rsidRPr="00B068A2">
        <w:t>To conclude the Conference, Luc Stevens, UN Resident Coordinator &amp; UNDP Resident Representative, touched upon the importance of concerted effort by activists, advocates and allies in bringing the cause of sexual orientation</w:t>
      </w:r>
      <w:r>
        <w:t xml:space="preserve">, </w:t>
      </w:r>
      <w:r w:rsidRPr="00B068A2">
        <w:t xml:space="preserve">gender identity </w:t>
      </w:r>
      <w:r>
        <w:t xml:space="preserve">and sex characteristics </w:t>
      </w:r>
      <w:r w:rsidRPr="00B068A2">
        <w:t xml:space="preserve">to the forefront of </w:t>
      </w:r>
      <w:r>
        <w:t xml:space="preserve">the </w:t>
      </w:r>
      <w:r w:rsidRPr="00B068A2">
        <w:t>international agenda. A future is envisaged in which everyone, regardless of who they are and who they love will be able to live without fear and fear of death from acts of violence.</w:t>
      </w:r>
    </w:p>
    <w:p w14:paraId="2D1D4376" w14:textId="77777777" w:rsidR="0075434A" w:rsidRPr="00B068A2" w:rsidRDefault="0075434A" w:rsidP="00FE52D0">
      <w:r w:rsidRPr="00B068A2">
        <w:t xml:space="preserve">Although there has been serious progress over the years, violence based on sexual orientation and gender identity </w:t>
      </w:r>
      <w:r>
        <w:t xml:space="preserve">and sex characteristics </w:t>
      </w:r>
      <w:r w:rsidRPr="00B068A2">
        <w:t xml:space="preserve">still remains a major concern. In the face of such hostility, we have to continue sending the message that LGBTI rights are human rights too. With many challenges of hatred and bigotry still remaining, we must make the optimum use of the narrow space there is some countries to advance rights. </w:t>
      </w:r>
    </w:p>
    <w:p w14:paraId="56B1C149" w14:textId="77777777" w:rsidR="0075434A" w:rsidRPr="00B068A2" w:rsidRDefault="0075434A" w:rsidP="00FE52D0">
      <w:r w:rsidRPr="00B068A2">
        <w:t>International organ</w:t>
      </w:r>
      <w:r>
        <w:t>is</w:t>
      </w:r>
      <w:r w:rsidRPr="00B068A2">
        <w:t xml:space="preserve">ations must listen to the grassroots and ensure that they receive adequate support to sustain the momentum of LGBTI rights advocacy. The UN will be facilitators and conveners of this effort but not directors, while the grassroots activists will be the ones to lead the campaign. The UN agencies can also work to make the </w:t>
      </w:r>
      <w:r>
        <w:t>S</w:t>
      </w:r>
      <w:r w:rsidRPr="00B068A2">
        <w:t xml:space="preserve">tates own up the Yogyakarta Principles and address challenges on the ground. As discussed during the conference sessions, focus must be given to transform intellectual resources to community’s emotional power, which could bring in lasting change and progress. </w:t>
      </w:r>
    </w:p>
    <w:p w14:paraId="7C50E8EE" w14:textId="77777777" w:rsidR="0075434A" w:rsidRPr="00B068A2" w:rsidRDefault="0075434A" w:rsidP="00FE52D0">
      <w:r w:rsidRPr="00B068A2">
        <w:t>The Yogyakarta Principles summar</w:t>
      </w:r>
      <w:r>
        <w:t>is</w:t>
      </w:r>
      <w:r w:rsidRPr="00B068A2">
        <w:t xml:space="preserve">e and reflects upon the status of human rights norms at the time of the adoption, but there is the need for the </w:t>
      </w:r>
      <w:r>
        <w:t>P</w:t>
      </w:r>
      <w:r w:rsidRPr="00B068A2">
        <w:t xml:space="preserve">rinciples to be updated to be more inclusive and effective. With tremendous passion and commitment, we must be able to face the struggle with more energy and enthusiasm, taking inspiration from the giants on whose shoulders we stand today. </w:t>
      </w:r>
    </w:p>
    <w:p w14:paraId="4704E361" w14:textId="77777777" w:rsidR="0075434A" w:rsidRDefault="0075434A" w:rsidP="00FE52D0">
      <w:r w:rsidRPr="00B068A2">
        <w:t>In the days ahead, there should be more focus on capacity building and training in SOGI</w:t>
      </w:r>
      <w:r>
        <w:t>ESC</w:t>
      </w:r>
      <w:r w:rsidRPr="00B068A2">
        <w:t xml:space="preserve"> as core work for UNDP and APF, along with fresh efforts to local</w:t>
      </w:r>
      <w:r>
        <w:t>is</w:t>
      </w:r>
      <w:r w:rsidRPr="00B068A2">
        <w:t xml:space="preserve">e the Yogyakarta Principles into, not only the local vernacular, but also to the local context with the aim of creating a stronger sense of local ownership. Developing additional guidelines to mainstream LGBTI in the work of human rights advocates and sustaining support of partners and donors </w:t>
      </w:r>
      <w:r w:rsidRPr="00B068A2">
        <w:lastRenderedPageBreak/>
        <w:t xml:space="preserve">would be given high priority. The work and position of the Independent Expert on </w:t>
      </w:r>
      <w:r>
        <w:t>SOGIESC</w:t>
      </w:r>
      <w:r w:rsidRPr="00B068A2">
        <w:t xml:space="preserve"> must be supported and defended to ensure that the </w:t>
      </w:r>
      <w:r>
        <w:t xml:space="preserve">human rights </w:t>
      </w:r>
      <w:r w:rsidRPr="00B068A2">
        <w:t xml:space="preserve">issues surrounding sexual orientation and gender identity </w:t>
      </w:r>
      <w:r>
        <w:t xml:space="preserve">and sex characteristics </w:t>
      </w:r>
      <w:r w:rsidRPr="00B068A2">
        <w:t xml:space="preserve">remain part of the international agenda. </w:t>
      </w:r>
    </w:p>
    <w:p w14:paraId="5EA7FE51" w14:textId="77777777" w:rsidR="0075434A" w:rsidRPr="00FE52D0" w:rsidRDefault="0075434A" w:rsidP="00FE52D0">
      <w:r w:rsidRPr="00FE52D0">
        <w:br w:type="page"/>
      </w:r>
    </w:p>
    <w:p w14:paraId="6DD45F10" w14:textId="24C374D3" w:rsidR="0075434A" w:rsidRPr="00B068A2" w:rsidRDefault="0075434A" w:rsidP="00FE52D0">
      <w:pPr>
        <w:pStyle w:val="Heading1"/>
      </w:pPr>
      <w:bookmarkStart w:id="79" w:name="_Toc489441328"/>
      <w:bookmarkStart w:id="80" w:name="_Toc491332781"/>
      <w:r w:rsidRPr="00B068A2">
        <w:lastRenderedPageBreak/>
        <w:t>6.</w:t>
      </w:r>
      <w:r w:rsidR="00FE52D0">
        <w:tab/>
      </w:r>
      <w:r w:rsidR="00FF40FF">
        <w:t>Conference e</w:t>
      </w:r>
      <w:r w:rsidRPr="00B068A2">
        <w:t>valuation</w:t>
      </w:r>
      <w:bookmarkEnd w:id="79"/>
      <w:bookmarkEnd w:id="80"/>
    </w:p>
    <w:p w14:paraId="1AEE06C7" w14:textId="77777777" w:rsidR="0075434A" w:rsidRPr="00FE52D0" w:rsidRDefault="0075434A" w:rsidP="00FE52D0">
      <w:r w:rsidRPr="00FE52D0">
        <w:t>Participants were asked to fill in an evaluation form at the end of the conference. Of the 117 participants 66 returned completed evaluations.</w:t>
      </w:r>
    </w:p>
    <w:p w14:paraId="3886C707" w14:textId="77777777" w:rsidR="0075434A" w:rsidRPr="00FE52D0" w:rsidRDefault="0075434A" w:rsidP="00FE52D0">
      <w:r w:rsidRPr="00FE52D0">
        <w:t>Questions on usefulness, quality of different sessions, methodology, facilitator skills, logistics and overall quality of conference were asked in addition to qualitative questions on knowledge gained.</w:t>
      </w:r>
    </w:p>
    <w:p w14:paraId="258E1D01" w14:textId="77777777" w:rsidR="0075434A" w:rsidRPr="00FE52D0" w:rsidRDefault="0075434A" w:rsidP="00FE52D0">
      <w:r w:rsidRPr="00FE52D0">
        <w:t>Participants found the conference useful with an average rating of 4.34 out of 5. 21 participants of the 66 respondents rated it a 5 out of 5 while 33 rated 4 out of 5 for this question.</w:t>
      </w:r>
    </w:p>
    <w:p w14:paraId="378CE831" w14:textId="77777777" w:rsidR="00FE52D0" w:rsidRPr="00FE52D0" w:rsidRDefault="0075434A" w:rsidP="00FE52D0">
      <w:r w:rsidRPr="00FE52D0">
        <w:t>For overall quality of the conference participants scored on average 4.35 out of 5 with 29 of the respondents rating 5 out of 5 and 30 participants rating 4 out of 5.</w:t>
      </w:r>
    </w:p>
    <w:p w14:paraId="57FB7173" w14:textId="29CBA6DE" w:rsidR="0075434A" w:rsidRPr="00FE52D0" w:rsidRDefault="0075434A" w:rsidP="00FE52D0">
      <w:r w:rsidRPr="00FE52D0">
        <w:br w:type="page"/>
      </w:r>
    </w:p>
    <w:p w14:paraId="643C2A8F" w14:textId="23D8803F" w:rsidR="0075434A" w:rsidRPr="00B068A2" w:rsidRDefault="00FE52D0" w:rsidP="00FE52D0">
      <w:pPr>
        <w:pStyle w:val="Heading1"/>
      </w:pPr>
      <w:bookmarkStart w:id="81" w:name="_Toc489441329"/>
      <w:bookmarkStart w:id="82" w:name="_Toc491332782"/>
      <w:r>
        <w:lastRenderedPageBreak/>
        <w:t>7.</w:t>
      </w:r>
      <w:r>
        <w:tab/>
      </w:r>
      <w:r w:rsidR="0075434A" w:rsidRPr="00B068A2">
        <w:t xml:space="preserve">Conference </w:t>
      </w:r>
      <w:r>
        <w:t>s</w:t>
      </w:r>
      <w:r w:rsidR="0075434A" w:rsidRPr="00B068A2">
        <w:t xml:space="preserve">ummary and </w:t>
      </w:r>
      <w:r>
        <w:t>f</w:t>
      </w:r>
      <w:r w:rsidR="0075434A" w:rsidRPr="00B068A2">
        <w:t xml:space="preserve">urther </w:t>
      </w:r>
      <w:r>
        <w:t>a</w:t>
      </w:r>
      <w:r w:rsidR="0075434A" w:rsidRPr="00B068A2">
        <w:t xml:space="preserve">ction </w:t>
      </w:r>
      <w:r>
        <w:t>a</w:t>
      </w:r>
      <w:r w:rsidR="0075434A" w:rsidRPr="00B068A2">
        <w:t>reas</w:t>
      </w:r>
      <w:bookmarkEnd w:id="81"/>
      <w:bookmarkEnd w:id="82"/>
    </w:p>
    <w:p w14:paraId="01A43958" w14:textId="77777777" w:rsidR="0075434A" w:rsidRPr="00B068A2" w:rsidRDefault="0075434A" w:rsidP="00745BBC">
      <w:r w:rsidRPr="00B068A2">
        <w:t>This section of the report summar</w:t>
      </w:r>
      <w:r>
        <w:t>is</w:t>
      </w:r>
      <w:r w:rsidRPr="00B068A2">
        <w:t>es the outcomes of the conference discussions within the four broad themes identified in the conference objectives – namely: different uses of the Yogyakarta Principles and other measures or initiatives in relation to promoting and protecting the human rights of LGBT and intersex people at global, regional and national levels; future development of international human rights law and practice in relation to</w:t>
      </w:r>
      <w:r>
        <w:t xml:space="preserve"> the</w:t>
      </w:r>
      <w:r w:rsidRPr="00B068A2">
        <w:t xml:space="preserve"> Yogyakarta Principles; areas in which the Principles could be developed further; support and coordination between NHRIs, NGOs, UN agencies, advocates and scholars.</w:t>
      </w:r>
    </w:p>
    <w:p w14:paraId="58B630AD" w14:textId="39A676AE" w:rsidR="0075434A" w:rsidRPr="00B068A2" w:rsidRDefault="00FE52D0" w:rsidP="00701490">
      <w:pPr>
        <w:pStyle w:val="Heading2"/>
      </w:pPr>
      <w:bookmarkStart w:id="83" w:name="_Toc489441330"/>
      <w:bookmarkStart w:id="84" w:name="_Toc491332783"/>
      <w:r>
        <w:t>7.1.</w:t>
      </w:r>
      <w:r>
        <w:tab/>
      </w:r>
      <w:r w:rsidR="0075434A" w:rsidRPr="00B068A2">
        <w:t>Use of the Yogyakarta Principles and other measures</w:t>
      </w:r>
      <w:bookmarkEnd w:id="83"/>
      <w:bookmarkEnd w:id="84"/>
    </w:p>
    <w:p w14:paraId="607632C0" w14:textId="77777777" w:rsidR="0075434A" w:rsidRPr="00FE52D0" w:rsidRDefault="0075434A" w:rsidP="00FE52D0">
      <w:r w:rsidRPr="00FE52D0">
        <w:t xml:space="preserve">The conference participants provided significant insights into the experience of LGBTI advocates, NHRIs, state agencies, academics and others in relation to the use and application of the Yogyakarta Principles in advocacy, litigation, education and awareness as well as shaping policy on the ground. </w:t>
      </w:r>
    </w:p>
    <w:p w14:paraId="3185E670" w14:textId="77777777" w:rsidR="0075434A" w:rsidRPr="00FE52D0" w:rsidRDefault="0075434A" w:rsidP="00FE52D0">
      <w:r w:rsidRPr="00FE52D0">
        <w:t xml:space="preserve">Focusing on the dimensions of individual sovereignty of subjective identity of lesbian, gay, bisexual, transgender and intersex (LGBTI) people as envisioned in the Principles, conference participants reflected on how the Principles have been used in the past 10 years, and what challenges and barriers were experienced and what limitations in text were most prominent. Participants noted that the Principles were not meant to be a constitutive document, but as an indicative document of the status of international law at the time and context in which they were drafted, therefore, they must be subject to change and evolution as the international human rights norms progress. </w:t>
      </w:r>
    </w:p>
    <w:p w14:paraId="78E625BC" w14:textId="77777777" w:rsidR="0075434A" w:rsidRPr="00FE52D0" w:rsidRDefault="0075434A" w:rsidP="00FE52D0">
      <w:r w:rsidRPr="00FE52D0">
        <w:t>Many stories of progress and success in using the Yogyakarta Principles in the promotion and protection of LGBTI rights in many countries in the region, including legal, judicial and administrative developments were acknowledged in the conference. Most importantly, it was recognised that the Principles afforded a systematic understanding of the nature of human rights related to sexual orientation and gender identity, and their impact can be felt at both the programmatic and catalytic levels. The Principles are also powerful tools for advocacy and in the development of jurisprudence in a broad spectrum of areas. The Principles also provided definitions of sexual orientation and gender identity, which are essential in recognising the nature of rights and their application in the context of sexual orientation and gender identity.</w:t>
      </w:r>
    </w:p>
    <w:p w14:paraId="30428F57" w14:textId="77777777" w:rsidR="0075434A" w:rsidRPr="00FE52D0" w:rsidRDefault="0075434A" w:rsidP="00FE52D0">
      <w:r w:rsidRPr="00FE52D0">
        <w:t>With the wider use of the Principles, there has been better recognition of LGBTI rights in many parts of the world including significant court cases. Similarly, various programmes of partnerships with civil society and advocacy for the rights of LGBTI people have yielded positive results in many cases.</w:t>
      </w:r>
    </w:p>
    <w:p w14:paraId="0481C1C5" w14:textId="77777777" w:rsidR="0075434A" w:rsidRPr="00FE52D0" w:rsidRDefault="0075434A" w:rsidP="00FE52D0">
      <w:r w:rsidRPr="00FE52D0">
        <w:t xml:space="preserve">Yet, many challenges remain. With growing violence and human rights violations targeted towards individuals and various forms of discrimination, homophobia, and transphobia, the vision of the Principles </w:t>
      </w:r>
      <w:proofErr w:type="gramStart"/>
      <w:r w:rsidRPr="00FE52D0">
        <w:t>are</w:t>
      </w:r>
      <w:proofErr w:type="gramEnd"/>
      <w:r w:rsidRPr="00FE52D0">
        <w:t xml:space="preserve"> far from being realised. There has been a growing anti-LGBTI sentiment in some parts of the world in the past 10 years in spite of the continued efforts of advocates. LGBTI people and human rights defenders and activists have been targeted and traumatised in many countries in recent years. The socio-cultural and economic exclusion of individuals based on sexual orientation, gender identity, gender expression and sex characteristics, and violations against the bodily autonomy of intersex people have been serious problems, while criminalisation of same-sex behavior remains a challenge in a </w:t>
      </w:r>
      <w:r w:rsidRPr="00FE52D0">
        <w:lastRenderedPageBreak/>
        <w:t xml:space="preserve">significant number of countries. There are also increasing cases of failure of states to recognise human rights issues related to gender identity and sex characteristics. Moreover, denial of recognition before the law based on sexual orientation and gender identity still remains a problem. These issues have been further exacerbated due to the shrinking space for civil society activism in some parts of the world. </w:t>
      </w:r>
    </w:p>
    <w:p w14:paraId="00F348C9" w14:textId="77777777" w:rsidR="0075434A" w:rsidRPr="00FE52D0" w:rsidRDefault="0075434A" w:rsidP="00FE52D0">
      <w:r w:rsidRPr="00FE52D0">
        <w:t xml:space="preserve">Many individuals have been tortured and murdered in recent years for their work to achieve a more equitable and equal society. While the innumerable sacrifices made by LGBTI advocates and people who stand up for the cause of human rights need to </w:t>
      </w:r>
      <w:proofErr w:type="gramStart"/>
      <w:r w:rsidRPr="00FE52D0">
        <w:t>reflected</w:t>
      </w:r>
      <w:proofErr w:type="gramEnd"/>
      <w:r w:rsidRPr="00FE52D0">
        <w:t xml:space="preserve"> upon, most human rights advocates, CSOs and members of the public remain inadequately informed of its provisions. Therefore, more concerted efforts to empower people on the ground are needed.</w:t>
      </w:r>
    </w:p>
    <w:p w14:paraId="103BEC90" w14:textId="0DCC1AE3" w:rsidR="0075434A" w:rsidRPr="00FE52D0" w:rsidRDefault="0075434A" w:rsidP="00FE52D0">
      <w:r w:rsidRPr="00FE52D0">
        <w:t>The Principles also need to be better connected to their applications; therefore, there is a need to create better interpretations and supplementary explanations for the Principles. By translating the Principles into the local language and context and by using the spiritual and emotional resources of the community, as well as by using the power of love to bring the Principles to life is urgently needed</w:t>
      </w:r>
      <w:r w:rsidR="00745BBC">
        <w:t>.</w:t>
      </w:r>
    </w:p>
    <w:p w14:paraId="65EF03DD" w14:textId="77777777" w:rsidR="0075434A" w:rsidRPr="00FE52D0" w:rsidRDefault="0075434A" w:rsidP="00FE52D0">
      <w:r w:rsidRPr="00FE52D0">
        <w:t xml:space="preserve">The Yogyakarta Principles can be effectively used as a critical launching pad for the activities of LGBTI advocates, which can be further helped by combining the effect of material, intellectual and emotional resources to perform and carry out campaigns over the long term. Learning from the jurisprudential development of the principles in the past, there is a need to focus on areas that would have the best impact on the quality of life of individuals and communities. </w:t>
      </w:r>
    </w:p>
    <w:p w14:paraId="0A004E8E" w14:textId="686AFD16" w:rsidR="0075434A" w:rsidRPr="00B068A2" w:rsidRDefault="00FE52D0" w:rsidP="00701490">
      <w:pPr>
        <w:pStyle w:val="Heading2"/>
      </w:pPr>
      <w:bookmarkStart w:id="85" w:name="_Toc489441331"/>
      <w:bookmarkStart w:id="86" w:name="_Toc491332784"/>
      <w:r>
        <w:t>7.2.</w:t>
      </w:r>
      <w:r>
        <w:tab/>
      </w:r>
      <w:r w:rsidR="0075434A" w:rsidRPr="00B068A2">
        <w:t xml:space="preserve">Future development of international human rights law and practice in relation to </w:t>
      </w:r>
      <w:r w:rsidR="00DF500D">
        <w:t xml:space="preserve">the </w:t>
      </w:r>
      <w:r w:rsidR="0075434A" w:rsidRPr="00B068A2">
        <w:t>Yogyakarta Principles</w:t>
      </w:r>
      <w:bookmarkEnd w:id="85"/>
      <w:bookmarkEnd w:id="86"/>
    </w:p>
    <w:p w14:paraId="4942D00D" w14:textId="77777777" w:rsidR="0075434A" w:rsidRPr="00FE52D0" w:rsidRDefault="0075434A" w:rsidP="00FE52D0">
      <w:r w:rsidRPr="00FE52D0">
        <w:t>Future development of international human rights law and practice in relation to the Yogyakarta Principles is another objective and theme of the conference. In this regard, a number of ideas were floated around the development and strengthening of the existing international human rights frameworks and practices to better align with the rights recognised in the Yogyakarta Principles.</w:t>
      </w:r>
    </w:p>
    <w:p w14:paraId="23345D2A" w14:textId="5B9E5C73" w:rsidR="0075434A" w:rsidRPr="00FE52D0" w:rsidRDefault="0075434A" w:rsidP="00FE52D0">
      <w:r w:rsidRPr="00FE52D0">
        <w:t>Linking the history and development of the Principles in the context of human rights systems and identifying relevant academic and theoretical contributions to human rights issues related to SOGIESC and making the Principles more binding within international law and human rights system as well as extending them to be better inclusive of intersex people are some of the key points of discussion. While the Principles provided an important platform for creative legal interpretation of the existing state of international law, there are challenges in responding to the urgency of addressing SOGIESC issues internationally.</w:t>
      </w:r>
      <w:r w:rsidR="00F3764F">
        <w:t xml:space="preserve"> </w:t>
      </w:r>
      <w:r w:rsidRPr="00FE52D0">
        <w:t xml:space="preserve">Moreover, stronger and </w:t>
      </w:r>
      <w:proofErr w:type="gramStart"/>
      <w:r w:rsidRPr="00FE52D0">
        <w:t>well informed</w:t>
      </w:r>
      <w:proofErr w:type="gramEnd"/>
      <w:r w:rsidRPr="00FE52D0">
        <w:t xml:space="preserve"> critique of human rights in the context of SOGIESC is also required in order to better appreciate the complementarities between the existing international human rights norms and the Yogyakarta Principles.</w:t>
      </w:r>
    </w:p>
    <w:p w14:paraId="73EAD90F" w14:textId="77777777" w:rsidR="0075434A" w:rsidRPr="00FE52D0" w:rsidRDefault="0075434A" w:rsidP="00FE52D0">
      <w:r w:rsidRPr="00FE52D0">
        <w:t>There is a need for ore education and awareness about SOGIESC and LGBTI issues and support to end stigma and violence perpetrated against LGBTI communities. Special advocacy programmes must be directed towards addressing issues of homophobia, transphobia, violence, stigma, honour crimes and honour killings targeted at LGBT communities and the secrecy about the specific human rights violations against intersex people.</w:t>
      </w:r>
    </w:p>
    <w:p w14:paraId="13960C0A" w14:textId="77777777" w:rsidR="0075434A" w:rsidRPr="00FE52D0" w:rsidRDefault="0075434A" w:rsidP="00FE52D0">
      <w:r w:rsidRPr="00FE52D0">
        <w:lastRenderedPageBreak/>
        <w:t xml:space="preserve">Highlighting that, many CSOs say that they have seldom used the Yogyakarta Principles and that the Principles to be made more legible and practical for advocates working in different cultural contexts. From this perspective, there is a need to come up with a simplified and locally understandable languages for the Yogyakarta Principles, which is essential to get the message across. </w:t>
      </w:r>
    </w:p>
    <w:p w14:paraId="7E588B35" w14:textId="77777777" w:rsidR="0075434A" w:rsidRPr="00FE52D0" w:rsidRDefault="0075434A" w:rsidP="00FE52D0">
      <w:r w:rsidRPr="00FE52D0">
        <w:t xml:space="preserve">Giving full consideration to the challenges and potentialities in revising or updating the Principles, there were voices to strengthen advocacy to promote acceptance of the Principles and LGBTI rights, and infuse more energy and inspiration to move the agenda forward were identified as essential. The programme of action aspect of the Yogyakarta Principles, which are directed towards States, could be effectively further targeted to lawyers, political parties, religious organisations in order to bring them </w:t>
      </w:r>
      <w:proofErr w:type="spellStart"/>
      <w:r w:rsidRPr="00FE52D0">
        <w:t>onboard</w:t>
      </w:r>
      <w:proofErr w:type="spellEnd"/>
      <w:r w:rsidRPr="00FE52D0">
        <w:t xml:space="preserve">. There is an increasing need to step up the discourse on SOGIESC issues, including the exploration of avenues to incorporate these rights in other areas of human rights advocacy such as business and human rights. Creating more research output on the application of the Yogyakarta Principles within the broad international human rights system, particularly in specific areas such as the economic and business impact of LGBTI rights, could be used more strategically. Likewise, linking the guiding principles of the SDGs to the protection of the vulnerable and marginalised and putting emphasis on the importance of concerted effort by activists, advocates and allies in bringing SOGIESC issues to the forefront of international debates were highlighted. </w:t>
      </w:r>
    </w:p>
    <w:p w14:paraId="25E17D92" w14:textId="77777777" w:rsidR="0075434A" w:rsidRPr="00FE52D0" w:rsidRDefault="0075434A" w:rsidP="00FE52D0">
      <w:r w:rsidRPr="00FE52D0">
        <w:t>Better use of the mandate of the Independent Expert on protection against violence and discrimination based on sexual orientation and gender identity (IE-SOGI) in bringing the issue of SOGI and sex characteristics, and building stronger partnerships amongst the LGBTI community were emphasised. Increasing attention could be given to building community partnerships and developing innovative engagements.</w:t>
      </w:r>
    </w:p>
    <w:p w14:paraId="164F5C59" w14:textId="79658B08" w:rsidR="0075434A" w:rsidRDefault="00FE52D0" w:rsidP="00701490">
      <w:pPr>
        <w:pStyle w:val="Heading2"/>
      </w:pPr>
      <w:bookmarkStart w:id="87" w:name="_Toc489441332"/>
      <w:bookmarkStart w:id="88" w:name="_Toc491332785"/>
      <w:r>
        <w:t>7.3</w:t>
      </w:r>
      <w:r w:rsidR="00FF40FF">
        <w:t>.</w:t>
      </w:r>
      <w:r>
        <w:tab/>
      </w:r>
      <w:r w:rsidR="0075434A" w:rsidRPr="00B068A2">
        <w:t>Areas for future development of the Yogyakarta Principles</w:t>
      </w:r>
      <w:bookmarkEnd w:id="87"/>
      <w:bookmarkEnd w:id="88"/>
    </w:p>
    <w:p w14:paraId="7D967D26" w14:textId="77777777" w:rsidR="0075434A" w:rsidRPr="00FE52D0" w:rsidRDefault="0075434A" w:rsidP="00FE52D0">
      <w:r w:rsidRPr="00FE52D0">
        <w:t>Areas for future development of the Yogyakarta Principles and supplementary materials were discussed throughout the conference, in particular, during the group discussions on Day 2. Some of the key positions and ideas that emerged from these discussions are outlined here. The points included here only highlight the key discussions, and the specific details are covered in relevant sections of this report.</w:t>
      </w:r>
    </w:p>
    <w:p w14:paraId="114C0B33" w14:textId="0C9E85C6" w:rsidR="0075434A" w:rsidRPr="00FE52D0" w:rsidRDefault="0075434A" w:rsidP="00FE52D0">
      <w:r w:rsidRPr="00FE52D0">
        <w:t>Introducing additional supplements to the Principles would help further clarify and address the multiple dimensions of the Principles and how they link to each other. The need to bring in more clarity and new terminology to better understand the nuances of lived experiences of diverse LGBTI communities should be the basis of such revisions and updates. However, it is also important to note that some participants expressed the view that something akin to the general comment</w:t>
      </w:r>
      <w:r w:rsidR="006F368D">
        <w:t>/</w:t>
      </w:r>
      <w:r w:rsidRPr="00FE52D0">
        <w:t>recommendations of treaty bodies can be more effective in bringing the required updates to the Yogyakarta Principles.</w:t>
      </w:r>
    </w:p>
    <w:p w14:paraId="2D5668B0" w14:textId="6A302D9C" w:rsidR="0075434A" w:rsidRPr="00FE52D0" w:rsidRDefault="0075434A" w:rsidP="00FE52D0">
      <w:r w:rsidRPr="00FE52D0">
        <w:t xml:space="preserve">The term sex characteristics does not appear in the Principles and the word ‘intersex’ appears only once (in the preamble). Although some principles may be applied to encompass some of the human rights issues that intersex people, such concepts require further clarification. More clarity should be provided on concepts such as ‘age of consent’ or maturity in relation to intersex people, while sex characteristics and bodily diversity and areas with regard to protected attributes must be addressed. Clarity is also needed on the issue of non-consensual medical interventions, especially involving children with intersex variations. Clarity on the use of medical ‘evidence’, and definition on ‘sex characteristics’ as well as the relationship between gender identity and intersex are required. There are strong concerns from intersex people regarding Principle18 especially in relation to contentions with the </w:t>
      </w:r>
      <w:r w:rsidRPr="00FE52D0">
        <w:lastRenderedPageBreak/>
        <w:t>language of the CRC – with a call for the need to uncouple (decouple) the Principles’ definitions from those of CRC</w:t>
      </w:r>
      <w:r w:rsidR="00745BBC">
        <w:t>.</w:t>
      </w:r>
    </w:p>
    <w:p w14:paraId="66FAF483" w14:textId="77777777" w:rsidR="0075434A" w:rsidRPr="00FE52D0" w:rsidRDefault="0075434A" w:rsidP="00FE52D0">
      <w:r w:rsidRPr="00FE52D0">
        <w:t xml:space="preserve">The desire to talk about the ‘best interest of the child’ – in the context of age and maturity and the preferences for alternative, developmental states and emphasis on autonomy – alternatively, instead of removing ‘best interest’, it could be useful to be more explicit about what these interests are. It was suggested that normative language, such as ‘harmful practices’ instead of torture framings should be used. Supplementary principles could be expanded to include harm caused, and in particular draw attention to the distinction between consent and informed consent. The issue of legal language and approach to categorising, conflation and confusion of gender identity and sex characteristics – in which proof is often based on ‘biological characteristics’ must be addressed in future developments. </w:t>
      </w:r>
    </w:p>
    <w:p w14:paraId="448337DB" w14:textId="77777777" w:rsidR="0075434A" w:rsidRPr="00FE52D0" w:rsidRDefault="0075434A" w:rsidP="00FE52D0">
      <w:r w:rsidRPr="00FE52D0">
        <w:t>There is the need for the Yogyakarta Principles to introduce better conceptual clarity on the subject of sex characteristics and intersex. The current definitions in relation to bodily diversity, intersex and sex characteristics are not clear, which need to address through the lens and aspects of health and bodily autonomy plus diversity. The issues related to female genital mutilation (FGM) and approaches taken by human rights advocates provides some important lessons for intersex advocacy.</w:t>
      </w:r>
    </w:p>
    <w:p w14:paraId="7902A678" w14:textId="77777777" w:rsidR="0075434A" w:rsidRPr="00FE52D0" w:rsidRDefault="0075434A" w:rsidP="00FE52D0">
      <w:r w:rsidRPr="00FE52D0">
        <w:t>There is a need for better emphasis on views of the child in the Yogyakarta Principles. Clarity is needed to identify the impact of third categories on birth certificates – including both positive and negative consequences. Although there is some resistance to issues related to bodily autonomy, it is important to refer to the ‘self-determination’ of intersex people.</w:t>
      </w:r>
    </w:p>
    <w:p w14:paraId="75B94898" w14:textId="77777777" w:rsidR="0075434A" w:rsidRPr="00FE52D0" w:rsidRDefault="0075434A" w:rsidP="00FE52D0">
      <w:r w:rsidRPr="00FE52D0">
        <w:t>In the area of gender identity, explicit discussion on gender expression is absent in the Yogyakarta Principles. There is also no reference to cultural identity, and the relationship between SO, GI and GE is not clear.</w:t>
      </w:r>
    </w:p>
    <w:p w14:paraId="6022EAEC" w14:textId="77777777" w:rsidR="0075434A" w:rsidRPr="00FE52D0" w:rsidRDefault="0075434A" w:rsidP="00FE52D0">
      <w:r w:rsidRPr="00FE52D0">
        <w:t xml:space="preserve">Although the Yogyakarta Principles uses non-binary language, there is a lack of information on definitions of sex and gender, and gender identity and right to family are not adequately addressed. Gender expression and cultural participation as well as freedom of religion and their relationships are not included. Gender norms and social gender are not distinguished in the Principles, which must be addressed in any future revisions or updates. </w:t>
      </w:r>
    </w:p>
    <w:p w14:paraId="369B5BBE" w14:textId="77777777" w:rsidR="0075434A" w:rsidRPr="00FE52D0" w:rsidRDefault="0075434A" w:rsidP="00FE52D0">
      <w:r w:rsidRPr="00FE52D0">
        <w:t>It is also important for the Principles to recognise the intersectionality of rights and approaches which may have positive implications for reinforcing its substantive contents. By applying an intersectional perspective, the Principles needs to address cross-cutting issues such as issues surrounding gender-based violence; children’s rights; women’s rights etc. It should also reflect the nuances of each human rights instrument. The primacy of the heteronormative family as the ideal may be challenged by counter-narratives of persons from diverse contexts such as those in migration, in armed conflict scenarios, in natural disasters who may be living in different family arrangements.</w:t>
      </w:r>
    </w:p>
    <w:p w14:paraId="011B531B" w14:textId="77777777" w:rsidR="0075434A" w:rsidRPr="00FE52D0" w:rsidRDefault="0075434A" w:rsidP="00FE52D0">
      <w:r w:rsidRPr="00FE52D0">
        <w:t xml:space="preserve">While Principles 21, 24 and 26 recognise the right of LGBTI people to faith, to form family and to participate in cultural rights, the right to protection against violence based on religious belief and/or cultures and/or patriarchal family setting, is absent or non-existence. It is therefore necessary to review the existing Principles to ensure they explicitly provide for protection of LGBTI people from violence propagated by misguided religious belief and/or patriarchal cultures and family settings. Although Principle 21 is open and comprehensively embraces the rights of LGBTI to hold freedom of thought, conscience and religion it does not however cover the imposition of religious values on LGBTI individuals. Similarly, Principle 21 lacks clarity on how religions and related practices should treat LGBTI people. There is no critical view on how religion and religious practices perpetuate the gender-binary, patriarchy and heteronormativity. Principle 24 touches on the right to form a family but again does not </w:t>
      </w:r>
      <w:r w:rsidRPr="00FE52D0">
        <w:lastRenderedPageBreak/>
        <w:t xml:space="preserve">encapsulate the family duty to protect and not to harm LGBTI people. Given the evolving discourses around non-state actors as human rights duty-bearers, the Principles should consider how the family should be obligated to protect and promote rights the of LGBTI people. There also needs to be further clarity on issues related to family and adoption. </w:t>
      </w:r>
    </w:p>
    <w:p w14:paraId="104FE670" w14:textId="72503446" w:rsidR="0075434A" w:rsidRPr="00FE52D0" w:rsidRDefault="0075434A" w:rsidP="00FE52D0">
      <w:r w:rsidRPr="00FE52D0">
        <w:t>It is important to add a provision on intrusive surgery and bodily harm. To consider expanding Principle 5 and 6 to encapsulate the issue of participatory rights for children and protection from bodily harm</w:t>
      </w:r>
      <w:r w:rsidR="006F368D">
        <w:t>/</w:t>
      </w:r>
      <w:r w:rsidRPr="00FE52D0">
        <w:t>intrusive surgery. In this case the right to participation under the CRC may be used to interpret in conjunction with the application of the best interest of the child principle. Principle 26 talks about the right of LGBTI people to participate in cultural rights, but does not touch on the right to be protected from violence based on culture. Unique indigenous cultural belief and practices that value gender fluidity and diverse identities are also not currently covered in the Principles.</w:t>
      </w:r>
    </w:p>
    <w:p w14:paraId="64480FEF" w14:textId="77777777" w:rsidR="0075434A" w:rsidRPr="00FE52D0" w:rsidRDefault="0075434A" w:rsidP="00FE52D0">
      <w:r w:rsidRPr="00FE52D0">
        <w:t xml:space="preserve">The Yogyakarta Principles do not identify and define extremism and fails to recognise the impact of violence on the health and well-being of individuals. Draft operational/programmatic guidance on violations of human rights by state actors and secondly by non-state actors in all levels need to be elaborated. The Principles also do not include cybercrimes/attacks on LGBTI individuals, which should be included in any revision or update. </w:t>
      </w:r>
    </w:p>
    <w:p w14:paraId="3B982079" w14:textId="77777777" w:rsidR="0075434A" w:rsidRPr="00FE52D0" w:rsidRDefault="0075434A" w:rsidP="00FE52D0">
      <w:r w:rsidRPr="00FE52D0">
        <w:t xml:space="preserve">LGBTI youth, intersex people and asylum seekers, the right to freedom of association (especially in the context of requirements on CSOs to register with the government and restrictions on receiving foreign funding), as well as freedom of expression are not adequately covered in the Principles. There was some discussion about the Principles providing negative legal protection – a suggestion was to include a positive freedom to engage in private, consensual adult sexual activity. </w:t>
      </w:r>
    </w:p>
    <w:p w14:paraId="56229F9E" w14:textId="77777777" w:rsidR="0075434A" w:rsidRPr="00FE52D0" w:rsidRDefault="0075434A" w:rsidP="00FE52D0">
      <w:r w:rsidRPr="00FE52D0">
        <w:t>Legal enforceability and recognition of the Yogyakarta Principles by courts, and other processes must be addressed. Similarly, there is inadequate coverage on accountability of stakeholders and compliance monitoring. Establishing a more explicit link to domestic law – identifying gaps in domestic law and follow through in areas where there is lack of consistency is required. There is a need to address the issue of States selectively complying with the Principles, while ignoring some crucial Principles. The lack of legal enforceability of the Principles requires additional provisions to develop a sophisticated means of monitoring states’ compliance with the Principles, and reporting and even indexing States’ relative success in complying with the Principles.</w:t>
      </w:r>
    </w:p>
    <w:p w14:paraId="09524C30" w14:textId="77777777" w:rsidR="0075434A" w:rsidRPr="00FE52D0" w:rsidRDefault="0075434A" w:rsidP="00FE52D0">
      <w:r w:rsidRPr="00FE52D0">
        <w:t xml:space="preserve">In order to address the gaps in relation to legal oppression, the sphere of criminalisation of LGBT activities and oppression need to be addressed. With the increased expansion of restriction into the digital/online space, there should be more guidance on the human rights impact of such restrictions. In addition, expansion of exemptions (such as based on faith), oppressive tolerance (laws that promote stereotypes) and restrictions on sexual and reproductive health rights must be addressed better in future revisions. Other areas such as privacy, the human rights of sex workers, domestic violence, and enforced disappearance need to be addressed further. </w:t>
      </w:r>
    </w:p>
    <w:p w14:paraId="35419478" w14:textId="77777777" w:rsidR="0075434A" w:rsidRPr="00FE52D0" w:rsidRDefault="0075434A" w:rsidP="00FE52D0">
      <w:r w:rsidRPr="00FE52D0">
        <w:t xml:space="preserve">The Principles also need to further recognise the engagement with international human rights mechanism, such as the UPR process, special procedures, and treaty bodies. The role of the Human Rights Council and engagement of CSOs with the international human rights mechanisms and their capacity building can be further elaborated. </w:t>
      </w:r>
    </w:p>
    <w:p w14:paraId="2FE9A0ED" w14:textId="77777777" w:rsidR="0075434A" w:rsidRPr="00FE52D0" w:rsidRDefault="0075434A" w:rsidP="00FE52D0">
      <w:r w:rsidRPr="00FE52D0">
        <w:t xml:space="preserve">Mapping of treaty bodies and their relevance and effectiveness in engaging with individual countries in relation to the Principles, as well as including a recognition of the important role of the Independent Expert is essential. There should also be more emphasis on the role of NHRIs in relation to the implementation of the Principles. </w:t>
      </w:r>
    </w:p>
    <w:p w14:paraId="30CF7C11" w14:textId="6E38051B" w:rsidR="0075434A" w:rsidRPr="00FE52D0" w:rsidRDefault="0075434A" w:rsidP="00FE52D0">
      <w:r w:rsidRPr="00FE52D0">
        <w:lastRenderedPageBreak/>
        <w:t>There is no reference to the SDGs in the Yogyakarta Principles (the Principles pre-date the SDGs). Due to this, the SDGs are often overlooked in SOGIESC advocacy. It was suggested that the issue of application of SDGs to SOGIESC can be included in any supplementary materials on the Principles. Addressing data gaps – building on peer reviewed data as a tool for advocacy, but also ensuring that the Yogyakarta Principles are respected in data collection are suggested to further enhance the effectiveness of Principles application, especially in relation to SDGs.</w:t>
      </w:r>
      <w:r w:rsidR="00F3764F">
        <w:t xml:space="preserve"> </w:t>
      </w:r>
    </w:p>
    <w:p w14:paraId="39E8470C" w14:textId="0511115C" w:rsidR="0075434A" w:rsidRPr="00B068A2" w:rsidRDefault="00FE52D0" w:rsidP="00701490">
      <w:pPr>
        <w:pStyle w:val="Heading2"/>
      </w:pPr>
      <w:bookmarkStart w:id="89" w:name="_Toc489441333"/>
      <w:bookmarkStart w:id="90" w:name="_Toc491332786"/>
      <w:r>
        <w:t>7.4</w:t>
      </w:r>
      <w:r w:rsidR="00FF40FF">
        <w:t>.</w:t>
      </w:r>
      <w:r w:rsidR="00FF40FF">
        <w:tab/>
      </w:r>
      <w:r w:rsidR="0075434A" w:rsidRPr="00B068A2">
        <w:t>Areas for support and coordination</w:t>
      </w:r>
      <w:bookmarkEnd w:id="89"/>
      <w:bookmarkEnd w:id="90"/>
      <w:r w:rsidR="0075434A" w:rsidRPr="00B068A2">
        <w:t xml:space="preserve"> </w:t>
      </w:r>
    </w:p>
    <w:p w14:paraId="1EFA5C39" w14:textId="77777777" w:rsidR="0075434A" w:rsidRPr="00FE52D0" w:rsidRDefault="0075434A" w:rsidP="00FE52D0">
      <w:r w:rsidRPr="00FE52D0">
        <w:t>Exploring areas for enhancing support and cooperation between NHRIs, CSOs, UN agencies, advocates and scholars to protect and promote the rights of LGBTI people was identified as one of the key objectives of the Conference. To this effect, the need to create a better dialogue with all stakeholders in relation to multiple forms of violations, and work out better mechanisms for cooperation and inter-agency support were identified throughout the discussions. It was recognised that the role of NHRIs in working with people, governments, civil society, UN bodies and agencies, judiciaries, medical sector, religious leaders and communities, the international human rights system, and others will be crucial in shaping the future.</w:t>
      </w:r>
    </w:p>
    <w:p w14:paraId="05B0A76A" w14:textId="77777777" w:rsidR="0075434A" w:rsidRPr="00FE52D0" w:rsidRDefault="0075434A" w:rsidP="00FE52D0">
      <w:r w:rsidRPr="00FE52D0">
        <w:t xml:space="preserve">Building stronger partnerships and capacity among the NHRIs in promoting and protecting the human rights of the LGBTI community was identified as a central focus. Prioritising and enhancing the effectiveness of NHRI efforts and increased engagement with community partners is essential. It was also recognised that with rapid advances in technology and social media over the past 10 years, and the future use of such technology by LGBTI individuals, advocates and organisations must be part of the agenda today. </w:t>
      </w:r>
    </w:p>
    <w:p w14:paraId="65134387" w14:textId="77777777" w:rsidR="0075434A" w:rsidRPr="00FE52D0" w:rsidRDefault="0075434A" w:rsidP="00FE52D0">
      <w:r w:rsidRPr="00FE52D0">
        <w:t xml:space="preserve">In order to effectively engage with the State, it is important to: know the State’s response to the international human rights framework; form alliances with relevant stakeholders; </w:t>
      </w:r>
      <w:proofErr w:type="spellStart"/>
      <w:r w:rsidRPr="00FE52D0">
        <w:t>strategise</w:t>
      </w:r>
      <w:proofErr w:type="spellEnd"/>
      <w:r w:rsidRPr="00FE52D0">
        <w:t xml:space="preserve"> engagement; translate the Principles into local language; involve the private sector; build and use political capital; form alliances; injecting competitiveness among states; creating potential levers; linking to SDGs; drawing from common humanity; build strong legal cases; intervene in courts; and maximise positive normative context of the Principles through innovative interpretation.</w:t>
      </w:r>
    </w:p>
    <w:p w14:paraId="2F1290D3" w14:textId="77777777" w:rsidR="0075434A" w:rsidRPr="00FE52D0" w:rsidRDefault="0075434A" w:rsidP="00FE52D0">
      <w:r w:rsidRPr="00FE52D0">
        <w:t>Effective engagement with NHRIs should include: effectively exploiting the mediatory and interlocutory role of NHRIs; educate the community and produce effective tools of engagement; identify LGTBI issues within the community; democratise the understanding of SOGIESC issues and the Principles; more education and awareness; use NHRIs legal powers to address discrimination and violence; recognise intersectional issues; linkage between rights; mainstream SOGIESC issues in NHRI work; recognise the right to narrate; produce better and useful data; form sub-regional groups of cooperation; use economic and business case for LGBTI rights; use constructive engagement; optimise NHRI engagement in legal issues; give full consideration to social and legal reality; and use multiple narratives of culture.</w:t>
      </w:r>
    </w:p>
    <w:p w14:paraId="764AAF03" w14:textId="77777777" w:rsidR="0075434A" w:rsidRPr="00FE52D0" w:rsidRDefault="0075434A" w:rsidP="00FE52D0">
      <w:r w:rsidRPr="00FE52D0">
        <w:t>In engaging with is CSOs, the following were suggested: educating the community about LGBTI rights; training young and passionate activists; developing creative promotional materials; creative and contextualised translation of the Principles; engaging in legal reform process; engaging with the international human rights system; building alliances; including SOGIESC rights in research; using economic cost approach in LGBTI rights; and addressing the absence of intersex rights in the current Principles.</w:t>
      </w:r>
    </w:p>
    <w:p w14:paraId="2A29076B" w14:textId="77777777" w:rsidR="0075434A" w:rsidRPr="00FE52D0" w:rsidRDefault="0075434A" w:rsidP="00FE52D0">
      <w:r w:rsidRPr="00FE52D0">
        <w:lastRenderedPageBreak/>
        <w:t>Effective engagement with the UN system should include: recognise various entry points to the UN system; UN agencies to develop further sensitivity of staff on LGBTI issues; develop broader attention to gender identity issues; better integration and reflection of the Principles in work programmes; ICD to be cognisant of intersex issues; identify accountability areas; enhancing engagement with CSOs; stronger and visible role in advocating the Principles; programming using SDGs; and building a stronger partnership and legal support around LGBTI issues.</w:t>
      </w:r>
    </w:p>
    <w:p w14:paraId="030E5B22" w14:textId="5937C8BB" w:rsidR="0075434A" w:rsidRPr="00FE52D0" w:rsidRDefault="0075434A" w:rsidP="00FE52D0">
      <w:r w:rsidRPr="00FE52D0">
        <w:t xml:space="preserve">Dialogues are necessary to encourage discourse on LGBTI rights and issues and seen as a catalyst to acceptance and change. Dialogues should target faith and culture based organisation as well as religious leaders. It is also important to decide on the terms and nature of engagement. Depending on the level of acceptance of a particular religion or culture, discussion should focus on law and on rights and </w:t>
      </w:r>
      <w:r w:rsidR="00FF40FF" w:rsidRPr="00FE52D0">
        <w:t>fuelled</w:t>
      </w:r>
      <w:r w:rsidRPr="00FE52D0">
        <w:t xml:space="preserve"> by personal stories and experiences rather than provisions of scripture or doctrine. </w:t>
      </w:r>
    </w:p>
    <w:p w14:paraId="31A1F8E4" w14:textId="77777777" w:rsidR="00FE52D0" w:rsidRPr="00FE52D0" w:rsidRDefault="0075434A" w:rsidP="00FE52D0">
      <w:r w:rsidRPr="00FE52D0">
        <w:t>The UN Statistical Division should develop a SOGIESC index, indicators and recognise inclusion of LGBTI rights in SDG progress reports. Moreover, the UN should also make the SDGs more accessible at the ground level for LGBTI advocacy. More efforts are still required in capacity building and training in SOGIESC and supporting the Principles localisation efforts. International organisations must listen to the grassroots and ensure that they receive adequate support to sustain the momentum of LGBTI rights advocacy. It was suggested that multi-stakeholder working groups to be formed to follow up with reference to the Yogyakarta Principles and human rights mechanisms.</w:t>
      </w:r>
    </w:p>
    <w:p w14:paraId="58CAD0DC" w14:textId="2DD60ECF" w:rsidR="0075434A" w:rsidRPr="00B068A2" w:rsidRDefault="0075434A" w:rsidP="0075434A">
      <w:pPr>
        <w:jc w:val="both"/>
        <w:rPr>
          <w:rFonts w:asciiTheme="majorBidi" w:hAnsiTheme="majorBidi" w:cstheme="majorBidi"/>
        </w:rPr>
      </w:pPr>
      <w:r w:rsidRPr="00B068A2">
        <w:rPr>
          <w:rFonts w:asciiTheme="majorBidi" w:hAnsiTheme="majorBidi" w:cstheme="majorBidi"/>
        </w:rPr>
        <w:br w:type="page"/>
      </w:r>
    </w:p>
    <w:p w14:paraId="77BB79E3" w14:textId="6FCDC85C" w:rsidR="0075434A" w:rsidRPr="00FE52D0" w:rsidRDefault="00FE52D0" w:rsidP="00FE52D0">
      <w:pPr>
        <w:pStyle w:val="Heading1"/>
      </w:pPr>
      <w:bookmarkStart w:id="91" w:name="_Toc489441334"/>
      <w:bookmarkStart w:id="92" w:name="_Toc491332787"/>
      <w:r>
        <w:lastRenderedPageBreak/>
        <w:t>Appendix</w:t>
      </w:r>
      <w:r w:rsidR="0075434A" w:rsidRPr="00FE52D0">
        <w:t xml:space="preserve"> 1: Workshop agenda</w:t>
      </w:r>
      <w:bookmarkEnd w:id="91"/>
      <w:bookmarkEnd w:id="92"/>
    </w:p>
    <w:tbl>
      <w:tblPr>
        <w:tblStyle w:val="GridTable4-Accent5"/>
        <w:tblW w:w="9072" w:type="dxa"/>
        <w:tblInd w:w="170" w:type="dxa"/>
        <w:tblBorders>
          <w:top w:val="single" w:sz="8" w:space="0" w:color="0081C6"/>
          <w:left w:val="single" w:sz="8" w:space="0" w:color="0081C6"/>
          <w:bottom w:val="single" w:sz="8" w:space="0" w:color="0081C6"/>
          <w:right w:val="single" w:sz="8" w:space="0" w:color="0081C6"/>
          <w:insideH w:val="single" w:sz="6" w:space="0" w:color="0081C6"/>
          <w:insideV w:val="single" w:sz="6" w:space="0" w:color="0081C6"/>
        </w:tblBorders>
        <w:tblCellMar>
          <w:top w:w="142" w:type="dxa"/>
          <w:left w:w="142" w:type="dxa"/>
          <w:bottom w:w="142" w:type="dxa"/>
          <w:right w:w="142" w:type="dxa"/>
        </w:tblCellMar>
        <w:tblLook w:val="04A0" w:firstRow="1" w:lastRow="0" w:firstColumn="1" w:lastColumn="0" w:noHBand="0" w:noVBand="1"/>
      </w:tblPr>
      <w:tblGrid>
        <w:gridCol w:w="1897"/>
        <w:gridCol w:w="7175"/>
      </w:tblGrid>
      <w:tr w:rsidR="00463255" w:rsidRPr="00BC5F67" w14:paraId="5CD36094" w14:textId="77777777" w:rsidTr="00CC7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81C6"/>
          </w:tcPr>
          <w:p w14:paraId="286C4658" w14:textId="04985E3F" w:rsidR="0075434A" w:rsidRPr="00BC5F67" w:rsidRDefault="00463255" w:rsidP="001D18A9">
            <w:pPr>
              <w:pStyle w:val="Heading2"/>
              <w:spacing w:before="0" w:after="0"/>
              <w:ind w:left="0" w:firstLine="0"/>
              <w:outlineLvl w:val="1"/>
              <w:rPr>
                <w:color w:val="FFFFFF" w:themeColor="background1"/>
                <w:sz w:val="28"/>
              </w:rPr>
            </w:pPr>
            <w:bookmarkStart w:id="93" w:name="_Toc491332788"/>
            <w:r w:rsidRPr="00BC5F67">
              <w:rPr>
                <w:color w:val="FFFFFF" w:themeColor="background1"/>
                <w:sz w:val="28"/>
              </w:rPr>
              <w:t>Monday</w:t>
            </w:r>
            <w:r w:rsidR="0075434A" w:rsidRPr="00BC5F67">
              <w:rPr>
                <w:color w:val="FFFFFF" w:themeColor="background1"/>
                <w:sz w:val="28"/>
              </w:rPr>
              <w:t>, 24 April 2017</w:t>
            </w:r>
            <w:bookmarkEnd w:id="93"/>
          </w:p>
        </w:tc>
      </w:tr>
      <w:tr w:rsidR="0075434A" w:rsidRPr="008450A6" w14:paraId="40C89B4E"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342CF9F7" w14:textId="77777777" w:rsidR="0075434A" w:rsidRPr="00890675" w:rsidRDefault="0075434A" w:rsidP="008450A6">
            <w:pPr>
              <w:pStyle w:val="TableText"/>
              <w:rPr>
                <w:rFonts w:cs="Arial"/>
                <w:b w:val="0"/>
                <w:szCs w:val="20"/>
              </w:rPr>
            </w:pPr>
            <w:r w:rsidRPr="00890675">
              <w:rPr>
                <w:rFonts w:cs="Arial"/>
                <w:b w:val="0"/>
                <w:szCs w:val="20"/>
              </w:rPr>
              <w:t>18:00 – 19:00</w:t>
            </w:r>
          </w:p>
        </w:tc>
        <w:tc>
          <w:tcPr>
            <w:tcW w:w="7175" w:type="dxa"/>
            <w:tcBorders>
              <w:left w:val="nil"/>
            </w:tcBorders>
            <w:shd w:val="clear" w:color="auto" w:fill="auto"/>
          </w:tcPr>
          <w:p w14:paraId="511C2BC9" w14:textId="22344CBA" w:rsidR="0075434A" w:rsidRPr="008450A6" w:rsidRDefault="0075434A"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sidRPr="008450A6">
              <w:rPr>
                <w:rFonts w:cs="Arial"/>
                <w:szCs w:val="20"/>
              </w:rPr>
              <w:t>Pre-Confer</w:t>
            </w:r>
            <w:r w:rsidR="00463255">
              <w:rPr>
                <w:rFonts w:cs="Arial"/>
                <w:szCs w:val="20"/>
              </w:rPr>
              <w:t>ence r</w:t>
            </w:r>
            <w:r w:rsidRPr="008450A6">
              <w:rPr>
                <w:rFonts w:cs="Arial"/>
                <w:szCs w:val="20"/>
              </w:rPr>
              <w:t>egistration</w:t>
            </w:r>
          </w:p>
        </w:tc>
      </w:tr>
      <w:tr w:rsidR="00CC78EA" w:rsidRPr="008450A6" w14:paraId="3212CFE6" w14:textId="77777777" w:rsidTr="007365B4">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2FD2C858" w14:textId="16BE8393" w:rsidR="00CC78EA" w:rsidRPr="00890675" w:rsidRDefault="00CC78EA" w:rsidP="007365B4">
            <w:pPr>
              <w:pStyle w:val="TableText"/>
              <w:rPr>
                <w:rFonts w:cs="Arial"/>
                <w:b w:val="0"/>
                <w:szCs w:val="20"/>
              </w:rPr>
            </w:pPr>
          </w:p>
        </w:tc>
        <w:tc>
          <w:tcPr>
            <w:tcW w:w="7175" w:type="dxa"/>
            <w:tcBorders>
              <w:left w:val="nil"/>
            </w:tcBorders>
            <w:shd w:val="clear" w:color="auto" w:fill="DBE5F1" w:themeFill="accent1" w:themeFillTint="33"/>
          </w:tcPr>
          <w:p w14:paraId="445CAAD7" w14:textId="283FC68A" w:rsidR="00CC78EA" w:rsidRPr="00CC78EA" w:rsidRDefault="00CC78EA" w:rsidP="007365B4">
            <w:pPr>
              <w:pStyle w:val="TableText"/>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CONFERENCE RECEPTION</w:t>
            </w:r>
          </w:p>
        </w:tc>
      </w:tr>
      <w:tr w:rsidR="0075434A" w:rsidRPr="008450A6" w14:paraId="44789645"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739B6026" w14:textId="77777777" w:rsidR="0075434A" w:rsidRPr="00890675" w:rsidRDefault="0075434A" w:rsidP="008450A6">
            <w:pPr>
              <w:pStyle w:val="TableText"/>
              <w:rPr>
                <w:rFonts w:cs="Arial"/>
                <w:b w:val="0"/>
                <w:szCs w:val="20"/>
              </w:rPr>
            </w:pPr>
            <w:r w:rsidRPr="00890675">
              <w:rPr>
                <w:rFonts w:cs="Arial"/>
                <w:b w:val="0"/>
                <w:szCs w:val="20"/>
              </w:rPr>
              <w:t>19:00 – 21:00</w:t>
            </w:r>
          </w:p>
        </w:tc>
        <w:tc>
          <w:tcPr>
            <w:tcW w:w="7175" w:type="dxa"/>
            <w:tcBorders>
              <w:left w:val="nil"/>
            </w:tcBorders>
            <w:shd w:val="clear" w:color="auto" w:fill="auto"/>
          </w:tcPr>
          <w:p w14:paraId="2AC48B44" w14:textId="77777777" w:rsidR="0075434A" w:rsidRPr="00463255" w:rsidRDefault="0075434A"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sidRPr="00463255">
              <w:rPr>
                <w:rFonts w:cs="Arial"/>
                <w:b/>
                <w:szCs w:val="20"/>
              </w:rPr>
              <w:t>Hosted by UNDP and APF</w:t>
            </w:r>
          </w:p>
          <w:p w14:paraId="4B704A8B" w14:textId="2DE8A192" w:rsidR="00463255" w:rsidRPr="008450A6" w:rsidRDefault="0075434A" w:rsidP="00463255">
            <w:pPr>
              <w:pStyle w:val="TableText"/>
              <w:spacing w:after="120"/>
              <w:cnfStyle w:val="000000100000" w:firstRow="0" w:lastRow="0" w:firstColumn="0" w:lastColumn="0" w:oddVBand="0" w:evenVBand="0" w:oddHBand="1" w:evenHBand="0" w:firstRowFirstColumn="0" w:firstRowLastColumn="0" w:lastRowFirstColumn="0" w:lastRowLastColumn="0"/>
              <w:rPr>
                <w:rFonts w:cs="Arial"/>
                <w:szCs w:val="20"/>
              </w:rPr>
            </w:pPr>
            <w:r w:rsidRPr="008450A6">
              <w:rPr>
                <w:rFonts w:cs="Arial"/>
                <w:szCs w:val="20"/>
              </w:rPr>
              <w:t xml:space="preserve">The Cellar, </w:t>
            </w:r>
            <w:proofErr w:type="spellStart"/>
            <w:r w:rsidRPr="008450A6">
              <w:rPr>
                <w:rFonts w:cs="Arial"/>
                <w:szCs w:val="20"/>
              </w:rPr>
              <w:t>Dusit</w:t>
            </w:r>
            <w:proofErr w:type="spellEnd"/>
            <w:r w:rsidRPr="008450A6">
              <w:rPr>
                <w:rFonts w:cs="Arial"/>
                <w:szCs w:val="20"/>
              </w:rPr>
              <w:t xml:space="preserve"> </w:t>
            </w:r>
            <w:proofErr w:type="spellStart"/>
            <w:r w:rsidRPr="008450A6">
              <w:rPr>
                <w:rFonts w:cs="Arial"/>
                <w:szCs w:val="20"/>
              </w:rPr>
              <w:t>Thani</w:t>
            </w:r>
            <w:proofErr w:type="spellEnd"/>
            <w:r w:rsidRPr="008450A6">
              <w:rPr>
                <w:rFonts w:cs="Arial"/>
                <w:szCs w:val="20"/>
              </w:rPr>
              <w:t xml:space="preserve"> Hotel (Ground Floor)</w:t>
            </w:r>
          </w:p>
          <w:p w14:paraId="2299EACC" w14:textId="5DBD36A6" w:rsidR="0075434A" w:rsidRPr="00463255" w:rsidRDefault="00890675"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Welcome r</w:t>
            </w:r>
            <w:r w:rsidR="0075434A" w:rsidRPr="00463255">
              <w:rPr>
                <w:rFonts w:cs="Arial"/>
                <w:b/>
                <w:szCs w:val="20"/>
              </w:rPr>
              <w:t>emarks</w:t>
            </w:r>
          </w:p>
          <w:p w14:paraId="05D15F31" w14:textId="77777777" w:rsidR="0075434A" w:rsidRPr="008450A6" w:rsidRDefault="0075434A" w:rsidP="00890675">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 xml:space="preserve">H.E. </w:t>
            </w:r>
            <w:proofErr w:type="spellStart"/>
            <w:r w:rsidRPr="008450A6">
              <w:t>Staffan</w:t>
            </w:r>
            <w:proofErr w:type="spellEnd"/>
            <w:r w:rsidRPr="008450A6">
              <w:t xml:space="preserve"> </w:t>
            </w:r>
            <w:proofErr w:type="spellStart"/>
            <w:r w:rsidRPr="008450A6">
              <w:t>Herrström</w:t>
            </w:r>
            <w:proofErr w:type="spellEnd"/>
            <w:r w:rsidRPr="008450A6">
              <w:t>, Swedish Ambassador to Thailand</w:t>
            </w:r>
          </w:p>
          <w:p w14:paraId="708DCB34" w14:textId="6F4A59D8" w:rsidR="0075434A" w:rsidRPr="008450A6" w:rsidRDefault="0075434A" w:rsidP="00890675">
            <w:pPr>
              <w:pStyle w:val="TableBullet"/>
              <w:spacing w:after="120"/>
              <w:cnfStyle w:val="000000100000" w:firstRow="0" w:lastRow="0" w:firstColumn="0" w:lastColumn="0" w:oddVBand="0" w:evenVBand="0" w:oddHBand="1" w:evenHBand="0" w:firstRowFirstColumn="0" w:firstRowLastColumn="0" w:lastRowFirstColumn="0" w:lastRowLastColumn="0"/>
              <w:rPr>
                <w:rFonts w:eastAsia="Symbol"/>
              </w:rPr>
            </w:pPr>
            <w:r w:rsidRPr="008450A6">
              <w:t>Luc Stevens, UN Resident Coordinator &amp; UNDP Resident Representative</w:t>
            </w:r>
          </w:p>
          <w:p w14:paraId="09A61B79" w14:textId="4590298D" w:rsidR="0075434A" w:rsidRPr="008450A6" w:rsidRDefault="0075434A" w:rsidP="00890675">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sidRPr="00890675">
              <w:rPr>
                <w:rFonts w:cs="Arial"/>
                <w:b/>
                <w:szCs w:val="20"/>
              </w:rPr>
              <w:t>Videos</w:t>
            </w:r>
            <w:r w:rsidR="00890675" w:rsidRPr="00890675">
              <w:rPr>
                <w:rFonts w:cs="Arial"/>
                <w:b/>
                <w:szCs w:val="20"/>
              </w:rPr>
              <w:br/>
            </w:r>
            <w:r w:rsidR="00890675">
              <w:rPr>
                <w:rFonts w:cs="Arial"/>
                <w:szCs w:val="20"/>
              </w:rPr>
              <w:t>Regional dialogue, personal s</w:t>
            </w:r>
            <w:r w:rsidRPr="008450A6">
              <w:rPr>
                <w:rFonts w:cs="Arial"/>
                <w:szCs w:val="20"/>
              </w:rPr>
              <w:t>tories</w:t>
            </w:r>
          </w:p>
        </w:tc>
      </w:tr>
      <w:tr w:rsidR="00890675" w:rsidRPr="00BC5F67" w14:paraId="599C3594" w14:textId="77777777" w:rsidTr="00CC78EA">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81C6"/>
          </w:tcPr>
          <w:p w14:paraId="3924F372" w14:textId="5D31B667" w:rsidR="0075434A" w:rsidRPr="00BC5F67" w:rsidRDefault="0075434A" w:rsidP="001D18A9">
            <w:pPr>
              <w:pStyle w:val="Heading2"/>
              <w:spacing w:before="0" w:after="0"/>
              <w:ind w:left="0" w:firstLine="0"/>
              <w:outlineLvl w:val="1"/>
              <w:rPr>
                <w:color w:val="FFFFFF" w:themeColor="background1"/>
                <w:sz w:val="28"/>
              </w:rPr>
            </w:pPr>
            <w:r w:rsidRPr="00BC5F67">
              <w:rPr>
                <w:color w:val="FFFFFF" w:themeColor="background1"/>
                <w:sz w:val="28"/>
              </w:rPr>
              <w:br w:type="page"/>
            </w:r>
            <w:bookmarkStart w:id="94" w:name="_Toc491332789"/>
            <w:r w:rsidR="00890675" w:rsidRPr="00BC5F67">
              <w:rPr>
                <w:color w:val="FFFFFF" w:themeColor="background1"/>
                <w:sz w:val="28"/>
              </w:rPr>
              <w:t>Day</w:t>
            </w:r>
            <w:r w:rsidRPr="00BC5F67">
              <w:rPr>
                <w:color w:val="FFFFFF" w:themeColor="background1"/>
                <w:sz w:val="28"/>
              </w:rPr>
              <w:t xml:space="preserve"> 1</w:t>
            </w:r>
            <w:r w:rsidR="00890675" w:rsidRPr="00BC5F67">
              <w:rPr>
                <w:color w:val="FFFFFF" w:themeColor="background1"/>
                <w:sz w:val="28"/>
              </w:rPr>
              <w:t xml:space="preserve"> – Tuesday </w:t>
            </w:r>
            <w:r w:rsidRPr="00BC5F67">
              <w:rPr>
                <w:color w:val="FFFFFF" w:themeColor="background1"/>
                <w:sz w:val="28"/>
              </w:rPr>
              <w:t>25 April 2017</w:t>
            </w:r>
            <w:bookmarkEnd w:id="94"/>
          </w:p>
        </w:tc>
      </w:tr>
      <w:tr w:rsidR="0075434A" w:rsidRPr="008450A6" w14:paraId="7764A71F"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60679105" w14:textId="63DEE177" w:rsidR="0075434A" w:rsidRPr="00890675" w:rsidRDefault="00D224F3" w:rsidP="008450A6">
            <w:pPr>
              <w:pStyle w:val="TableText"/>
              <w:rPr>
                <w:rFonts w:cs="Arial"/>
                <w:b w:val="0"/>
                <w:szCs w:val="20"/>
              </w:rPr>
            </w:pPr>
            <w:r>
              <w:rPr>
                <w:rFonts w:cs="Arial"/>
                <w:b w:val="0"/>
                <w:szCs w:val="20"/>
              </w:rPr>
              <w:t>08:00 – 09:00</w:t>
            </w:r>
          </w:p>
        </w:tc>
        <w:tc>
          <w:tcPr>
            <w:tcW w:w="7175" w:type="dxa"/>
            <w:tcBorders>
              <w:left w:val="nil"/>
            </w:tcBorders>
            <w:shd w:val="clear" w:color="auto" w:fill="auto"/>
          </w:tcPr>
          <w:p w14:paraId="4E719B6E" w14:textId="2477470E" w:rsidR="0075434A" w:rsidRPr="008450A6" w:rsidRDefault="00CC78EA"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Conference r</w:t>
            </w:r>
            <w:r w:rsidR="0075434A" w:rsidRPr="008450A6">
              <w:rPr>
                <w:rFonts w:cs="Arial"/>
                <w:szCs w:val="20"/>
              </w:rPr>
              <w:t>egistration</w:t>
            </w:r>
          </w:p>
        </w:tc>
      </w:tr>
      <w:tr w:rsidR="0075434A" w:rsidRPr="008450A6" w14:paraId="0D7B6DD5" w14:textId="77777777" w:rsidTr="00CC78EA">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342704B0" w14:textId="3C4881D5" w:rsidR="0075434A" w:rsidRPr="00890675" w:rsidRDefault="0075434A" w:rsidP="008450A6">
            <w:pPr>
              <w:pStyle w:val="TableText"/>
              <w:rPr>
                <w:rFonts w:cs="Arial"/>
                <w:b w:val="0"/>
                <w:szCs w:val="20"/>
              </w:rPr>
            </w:pPr>
            <w:r w:rsidRPr="00890675">
              <w:rPr>
                <w:rFonts w:cs="Arial"/>
                <w:b w:val="0"/>
                <w:szCs w:val="20"/>
              </w:rPr>
              <w:t>09:00 – 09:25</w:t>
            </w:r>
          </w:p>
        </w:tc>
        <w:tc>
          <w:tcPr>
            <w:tcW w:w="7175" w:type="dxa"/>
            <w:tcBorders>
              <w:left w:val="nil"/>
            </w:tcBorders>
            <w:shd w:val="clear" w:color="auto" w:fill="DBE5F1" w:themeFill="accent1" w:themeFillTint="33"/>
          </w:tcPr>
          <w:p w14:paraId="04ECDA32" w14:textId="322AF145" w:rsidR="0075434A" w:rsidRPr="00CC78EA" w:rsidRDefault="00CC78EA" w:rsidP="008450A6">
            <w:pPr>
              <w:pStyle w:val="TableText"/>
              <w:cnfStyle w:val="000000000000" w:firstRow="0" w:lastRow="0" w:firstColumn="0" w:lastColumn="0" w:oddVBand="0" w:evenVBand="0" w:oddHBand="0" w:evenHBand="0" w:firstRowFirstColumn="0" w:firstRowLastColumn="0" w:lastRowFirstColumn="0" w:lastRowLastColumn="0"/>
              <w:rPr>
                <w:rFonts w:cs="Arial"/>
                <w:b/>
                <w:szCs w:val="20"/>
              </w:rPr>
            </w:pPr>
            <w:r w:rsidRPr="00CC78EA">
              <w:rPr>
                <w:rFonts w:cs="Arial"/>
                <w:b/>
                <w:szCs w:val="20"/>
              </w:rPr>
              <w:t>WELCOME</w:t>
            </w:r>
          </w:p>
        </w:tc>
      </w:tr>
      <w:tr w:rsidR="0075434A" w:rsidRPr="008450A6" w14:paraId="6549D996"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150F186C" w14:textId="7FE40712" w:rsidR="0075434A" w:rsidRPr="00890675" w:rsidRDefault="0075434A" w:rsidP="00CC78EA">
            <w:pPr>
              <w:pStyle w:val="TableText"/>
              <w:rPr>
                <w:rFonts w:cs="Arial"/>
                <w:b w:val="0"/>
                <w:szCs w:val="20"/>
              </w:rPr>
            </w:pPr>
            <w:proofErr w:type="spellStart"/>
            <w:r w:rsidRPr="00890675">
              <w:rPr>
                <w:rFonts w:cs="Arial"/>
                <w:b w:val="0"/>
                <w:szCs w:val="20"/>
              </w:rPr>
              <w:t>Dusit</w:t>
            </w:r>
            <w:proofErr w:type="spellEnd"/>
            <w:r w:rsidRPr="00890675">
              <w:rPr>
                <w:rFonts w:cs="Arial"/>
                <w:b w:val="0"/>
                <w:szCs w:val="20"/>
              </w:rPr>
              <w:t xml:space="preserve"> </w:t>
            </w:r>
            <w:proofErr w:type="spellStart"/>
            <w:r w:rsidRPr="00890675">
              <w:rPr>
                <w:rFonts w:cs="Arial"/>
                <w:b w:val="0"/>
                <w:szCs w:val="20"/>
              </w:rPr>
              <w:t>Thani</w:t>
            </w:r>
            <w:proofErr w:type="spellEnd"/>
            <w:r w:rsidRPr="00890675">
              <w:rPr>
                <w:rFonts w:cs="Arial"/>
                <w:b w:val="0"/>
                <w:szCs w:val="20"/>
              </w:rPr>
              <w:t xml:space="preserve"> Hall</w:t>
            </w:r>
          </w:p>
        </w:tc>
        <w:tc>
          <w:tcPr>
            <w:tcW w:w="7175" w:type="dxa"/>
            <w:tcBorders>
              <w:left w:val="nil"/>
            </w:tcBorders>
            <w:shd w:val="clear" w:color="auto" w:fill="auto"/>
          </w:tcPr>
          <w:p w14:paraId="52A1B6DA" w14:textId="1C82B131" w:rsidR="0075434A" w:rsidRPr="008450A6" w:rsidRDefault="0075434A" w:rsidP="00CC78EA">
            <w:pPr>
              <w:pStyle w:val="TableText"/>
              <w:spacing w:after="120"/>
              <w:cnfStyle w:val="000000100000" w:firstRow="0" w:lastRow="0" w:firstColumn="0" w:lastColumn="0" w:oddVBand="0" w:evenVBand="0" w:oddHBand="1" w:evenHBand="0" w:firstRowFirstColumn="0" w:firstRowLastColumn="0" w:lastRowFirstColumn="0" w:lastRowLastColumn="0"/>
              <w:rPr>
                <w:rFonts w:cs="Arial"/>
                <w:szCs w:val="20"/>
              </w:rPr>
            </w:pPr>
            <w:r w:rsidRPr="00CC78EA">
              <w:rPr>
                <w:rFonts w:cs="Arial"/>
                <w:b/>
                <w:iCs/>
                <w:szCs w:val="20"/>
              </w:rPr>
              <w:t>Moderator</w:t>
            </w:r>
            <w:r w:rsidR="00CC78EA">
              <w:rPr>
                <w:rFonts w:cs="Arial"/>
                <w:i/>
                <w:iCs/>
                <w:szCs w:val="20"/>
              </w:rPr>
              <w:br/>
            </w:r>
            <w:r w:rsidRPr="008450A6">
              <w:rPr>
                <w:rFonts w:cs="Arial"/>
                <w:szCs w:val="20"/>
              </w:rPr>
              <w:t>Nadia Rasheed, Team Leader, HIV, Health, and Development, UNDP Bangkok</w:t>
            </w:r>
            <w:r w:rsidRPr="008450A6">
              <w:rPr>
                <w:rFonts w:cs="Arial"/>
                <w:i/>
                <w:iCs/>
                <w:szCs w:val="20"/>
              </w:rPr>
              <w:t xml:space="preserve"> </w:t>
            </w:r>
            <w:r w:rsidRPr="008450A6">
              <w:rPr>
                <w:rFonts w:cs="Arial"/>
                <w:szCs w:val="20"/>
              </w:rPr>
              <w:t>Regional Hub</w:t>
            </w:r>
          </w:p>
          <w:p w14:paraId="20F09CE4" w14:textId="77777777" w:rsidR="0075434A" w:rsidRPr="00CC78EA" w:rsidRDefault="0075434A" w:rsidP="00CC78EA">
            <w:pPr>
              <w:pStyle w:val="TableText"/>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CC78EA">
              <w:rPr>
                <w:rFonts w:cs="Arial"/>
                <w:b/>
                <w:szCs w:val="20"/>
              </w:rPr>
              <w:t>Welcome to Thailand</w:t>
            </w:r>
          </w:p>
          <w:p w14:paraId="3838C226" w14:textId="340F8D59" w:rsidR="0075434A" w:rsidRPr="008450A6" w:rsidRDefault="0075434A" w:rsidP="008450A6">
            <w:pPr>
              <w:pStyle w:val="TableText"/>
              <w:cnfStyle w:val="000000100000" w:firstRow="0" w:lastRow="0" w:firstColumn="0" w:lastColumn="0" w:oddVBand="0" w:evenVBand="0" w:oddHBand="1" w:evenHBand="0" w:firstRowFirstColumn="0" w:firstRowLastColumn="0" w:lastRowFirstColumn="0" w:lastRowLastColumn="0"/>
              <w:rPr>
                <w:rFonts w:eastAsia="Symbol" w:cs="Arial"/>
                <w:szCs w:val="20"/>
              </w:rPr>
            </w:pPr>
            <w:r w:rsidRPr="008450A6">
              <w:rPr>
                <w:rFonts w:cs="Arial"/>
                <w:szCs w:val="20"/>
              </w:rPr>
              <w:t xml:space="preserve">Nada </w:t>
            </w:r>
            <w:proofErr w:type="spellStart"/>
            <w:r w:rsidRPr="008450A6">
              <w:rPr>
                <w:rFonts w:cs="Arial"/>
                <w:szCs w:val="20"/>
              </w:rPr>
              <w:t>Chaiyajit</w:t>
            </w:r>
            <w:proofErr w:type="spellEnd"/>
            <w:r w:rsidRPr="008450A6">
              <w:rPr>
                <w:rFonts w:cs="Arial"/>
                <w:szCs w:val="20"/>
              </w:rPr>
              <w:t xml:space="preserve">, Human Rights Advocacy &amp; Capacity Building Coordinator, </w:t>
            </w:r>
            <w:proofErr w:type="spellStart"/>
            <w:r w:rsidRPr="008450A6">
              <w:rPr>
                <w:rFonts w:cs="Arial"/>
                <w:szCs w:val="20"/>
              </w:rPr>
              <w:t>Manushya</w:t>
            </w:r>
            <w:proofErr w:type="spellEnd"/>
            <w:r w:rsidRPr="008450A6">
              <w:rPr>
                <w:rFonts w:cs="Arial"/>
                <w:szCs w:val="20"/>
              </w:rPr>
              <w:t xml:space="preserve"> Foundation</w:t>
            </w:r>
          </w:p>
          <w:p w14:paraId="747D0BC9" w14:textId="4BFEE69A" w:rsidR="0075434A" w:rsidRPr="00CC78EA" w:rsidRDefault="00CC78EA" w:rsidP="00CC78EA">
            <w:pPr>
              <w:pStyle w:val="TableText"/>
              <w:spacing w:before="120"/>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szCs w:val="20"/>
              </w:rPr>
              <w:t>Opening r</w:t>
            </w:r>
            <w:r w:rsidR="0075434A" w:rsidRPr="00CC78EA">
              <w:rPr>
                <w:rFonts w:cs="Arial"/>
                <w:b/>
                <w:szCs w:val="20"/>
              </w:rPr>
              <w:t>emarks</w:t>
            </w:r>
          </w:p>
          <w:p w14:paraId="3A77F086" w14:textId="22C083A5" w:rsidR="0075434A" w:rsidRPr="008450A6" w:rsidRDefault="0075434A" w:rsidP="00CC78EA">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 xml:space="preserve">Caitlin </w:t>
            </w:r>
            <w:proofErr w:type="spellStart"/>
            <w:r w:rsidRPr="008450A6">
              <w:t>Wiesen</w:t>
            </w:r>
            <w:proofErr w:type="spellEnd"/>
            <w:r w:rsidRPr="008450A6">
              <w:t xml:space="preserve">, Chief, Regional Policy and </w:t>
            </w:r>
            <w:proofErr w:type="spellStart"/>
            <w:r w:rsidRPr="008450A6">
              <w:t>Programme</w:t>
            </w:r>
            <w:proofErr w:type="spellEnd"/>
            <w:r w:rsidRPr="008450A6">
              <w:t xml:space="preserve"> Support for Asia &amp; the Pacific, UNDP Bangkok Regional Hub</w:t>
            </w:r>
          </w:p>
          <w:p w14:paraId="26532989" w14:textId="77777777" w:rsidR="0075434A" w:rsidRPr="008450A6" w:rsidRDefault="0075434A" w:rsidP="00CC78EA">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 xml:space="preserve">Muhammad </w:t>
            </w:r>
            <w:proofErr w:type="spellStart"/>
            <w:r w:rsidRPr="008450A6">
              <w:t>Nurkhoiron</w:t>
            </w:r>
            <w:proofErr w:type="spellEnd"/>
            <w:r w:rsidRPr="008450A6">
              <w:t>, Commissioner, Indonesian Commission on Human Rights</w:t>
            </w:r>
          </w:p>
          <w:p w14:paraId="7B498239" w14:textId="77777777" w:rsidR="0075434A" w:rsidRPr="008450A6" w:rsidRDefault="0075434A" w:rsidP="00CC78EA">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Pip Dargan, Deputy Director, Asia Pacific Forum of National Human Rights Institutions</w:t>
            </w:r>
          </w:p>
          <w:p w14:paraId="34F36799" w14:textId="77777777" w:rsidR="0075434A" w:rsidRPr="00CC78EA" w:rsidRDefault="0075434A" w:rsidP="00CC78EA">
            <w:pPr>
              <w:pStyle w:val="TableText"/>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CC78EA">
              <w:rPr>
                <w:rFonts w:cs="Arial"/>
                <w:b/>
                <w:szCs w:val="20"/>
              </w:rPr>
              <w:t>Video</w:t>
            </w:r>
          </w:p>
          <w:p w14:paraId="51F9554A" w14:textId="48BAFC39" w:rsidR="0075434A" w:rsidRPr="008450A6" w:rsidRDefault="00CC78EA" w:rsidP="008450A6">
            <w:pPr>
              <w:pStyle w:val="TableText"/>
              <w:cnfStyle w:val="000000100000" w:firstRow="0" w:lastRow="0" w:firstColumn="0" w:lastColumn="0" w:oddVBand="0" w:evenVBand="0" w:oddHBand="1" w:evenHBand="0" w:firstRowFirstColumn="0" w:firstRowLastColumn="0" w:lastRowFirstColumn="0" w:lastRowLastColumn="0"/>
              <w:rPr>
                <w:rFonts w:eastAsia="Symbol" w:cs="Arial"/>
                <w:szCs w:val="20"/>
              </w:rPr>
            </w:pPr>
            <w:r>
              <w:rPr>
                <w:rFonts w:cs="Arial"/>
                <w:szCs w:val="20"/>
              </w:rPr>
              <w:t>APF v</w:t>
            </w:r>
            <w:r w:rsidR="0075434A" w:rsidRPr="008450A6">
              <w:rPr>
                <w:rFonts w:cs="Arial"/>
                <w:szCs w:val="20"/>
              </w:rPr>
              <w:t>ideo on SOGISC training in action</w:t>
            </w:r>
          </w:p>
        </w:tc>
      </w:tr>
      <w:tr w:rsidR="0075434A" w:rsidRPr="008450A6" w14:paraId="0F666A74" w14:textId="77777777" w:rsidTr="00CC78EA">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2D883AA6" w14:textId="599AD70F" w:rsidR="0075434A" w:rsidRPr="00890675" w:rsidRDefault="0075434A" w:rsidP="008450A6">
            <w:pPr>
              <w:pStyle w:val="TableText"/>
              <w:rPr>
                <w:rFonts w:cs="Arial"/>
                <w:b w:val="0"/>
                <w:szCs w:val="20"/>
              </w:rPr>
            </w:pPr>
            <w:r w:rsidRPr="00890675">
              <w:rPr>
                <w:rFonts w:cs="Arial"/>
                <w:b w:val="0"/>
                <w:szCs w:val="20"/>
              </w:rPr>
              <w:t>09:25 – 10:30</w:t>
            </w:r>
          </w:p>
        </w:tc>
        <w:tc>
          <w:tcPr>
            <w:tcW w:w="7175" w:type="dxa"/>
            <w:tcBorders>
              <w:left w:val="nil"/>
            </w:tcBorders>
            <w:shd w:val="clear" w:color="auto" w:fill="DBE5F1" w:themeFill="accent1" w:themeFillTint="33"/>
          </w:tcPr>
          <w:p w14:paraId="28924B7B" w14:textId="5B5150EF" w:rsidR="0075434A" w:rsidRPr="00CC78EA" w:rsidRDefault="0075434A" w:rsidP="008450A6">
            <w:pPr>
              <w:pStyle w:val="TableText"/>
              <w:cnfStyle w:val="000000000000" w:firstRow="0" w:lastRow="0" w:firstColumn="0" w:lastColumn="0" w:oddVBand="0" w:evenVBand="0" w:oddHBand="0" w:evenHBand="0" w:firstRowFirstColumn="0" w:firstRowLastColumn="0" w:lastRowFirstColumn="0" w:lastRowLastColumn="0"/>
              <w:rPr>
                <w:rFonts w:cs="Arial"/>
                <w:b/>
                <w:szCs w:val="20"/>
              </w:rPr>
            </w:pPr>
            <w:r w:rsidRPr="00CC78EA">
              <w:rPr>
                <w:rFonts w:cs="Arial"/>
                <w:b/>
                <w:szCs w:val="20"/>
              </w:rPr>
              <w:t>KEYNOTE OPENING ADDRESS</w:t>
            </w:r>
          </w:p>
        </w:tc>
      </w:tr>
      <w:tr w:rsidR="0075434A" w:rsidRPr="008450A6" w14:paraId="56419385"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2B8971ED" w14:textId="41D38475" w:rsidR="0075434A" w:rsidRPr="00890675" w:rsidRDefault="0075434A" w:rsidP="00CC78EA">
            <w:pPr>
              <w:pStyle w:val="TableText"/>
              <w:rPr>
                <w:rFonts w:cs="Arial"/>
                <w:b w:val="0"/>
                <w:szCs w:val="20"/>
              </w:rPr>
            </w:pPr>
            <w:proofErr w:type="spellStart"/>
            <w:r w:rsidRPr="00890675">
              <w:rPr>
                <w:rFonts w:cs="Arial"/>
                <w:b w:val="0"/>
                <w:szCs w:val="20"/>
              </w:rPr>
              <w:t>Dusit</w:t>
            </w:r>
            <w:proofErr w:type="spellEnd"/>
            <w:r w:rsidRPr="00890675">
              <w:rPr>
                <w:rFonts w:cs="Arial"/>
                <w:b w:val="0"/>
                <w:szCs w:val="20"/>
              </w:rPr>
              <w:t xml:space="preserve"> </w:t>
            </w:r>
            <w:proofErr w:type="spellStart"/>
            <w:r w:rsidRPr="00890675">
              <w:rPr>
                <w:rFonts w:cs="Arial"/>
                <w:b w:val="0"/>
                <w:szCs w:val="20"/>
              </w:rPr>
              <w:t>Thani</w:t>
            </w:r>
            <w:proofErr w:type="spellEnd"/>
            <w:r w:rsidRPr="00890675">
              <w:rPr>
                <w:rFonts w:cs="Arial"/>
                <w:b w:val="0"/>
                <w:szCs w:val="20"/>
              </w:rPr>
              <w:t xml:space="preserve"> Hall</w:t>
            </w:r>
          </w:p>
        </w:tc>
        <w:tc>
          <w:tcPr>
            <w:tcW w:w="7175" w:type="dxa"/>
            <w:tcBorders>
              <w:left w:val="nil"/>
            </w:tcBorders>
            <w:shd w:val="clear" w:color="auto" w:fill="auto"/>
          </w:tcPr>
          <w:p w14:paraId="52E46C5C" w14:textId="799B47FE" w:rsidR="0075434A" w:rsidRPr="008450A6" w:rsidRDefault="0075434A" w:rsidP="00CC78EA">
            <w:pPr>
              <w:pStyle w:val="TableText"/>
              <w:spacing w:after="120"/>
              <w:cnfStyle w:val="000000100000" w:firstRow="0" w:lastRow="0" w:firstColumn="0" w:lastColumn="0" w:oddVBand="0" w:evenVBand="0" w:oddHBand="1" w:evenHBand="0" w:firstRowFirstColumn="0" w:firstRowLastColumn="0" w:lastRowFirstColumn="0" w:lastRowLastColumn="0"/>
              <w:rPr>
                <w:rFonts w:cs="Arial"/>
                <w:szCs w:val="20"/>
              </w:rPr>
            </w:pPr>
            <w:r w:rsidRPr="00CC78EA">
              <w:rPr>
                <w:rFonts w:cs="Arial"/>
                <w:b/>
                <w:iCs/>
                <w:szCs w:val="20"/>
              </w:rPr>
              <w:t>Moderator</w:t>
            </w:r>
            <w:r w:rsidR="00CC78EA" w:rsidRPr="00CC78EA">
              <w:rPr>
                <w:rFonts w:cs="Arial"/>
                <w:b/>
                <w:iCs/>
                <w:szCs w:val="20"/>
              </w:rPr>
              <w:br/>
            </w:r>
            <w:r w:rsidRPr="008450A6">
              <w:rPr>
                <w:rFonts w:cs="Arial"/>
                <w:szCs w:val="20"/>
              </w:rPr>
              <w:t>Charles Goddard, Editorial Director, The Economist Intelligence Unit, Asia Pacific</w:t>
            </w:r>
          </w:p>
          <w:p w14:paraId="36698F3C" w14:textId="2C284490" w:rsidR="0075434A" w:rsidRPr="00CC78EA" w:rsidRDefault="00CC78EA"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Pr>
                <w:rFonts w:cs="Arial"/>
                <w:b/>
                <w:iCs/>
                <w:szCs w:val="20"/>
              </w:rPr>
              <w:t>Keynote opening a</w:t>
            </w:r>
            <w:r w:rsidR="0075434A" w:rsidRPr="00CC78EA">
              <w:rPr>
                <w:rFonts w:cs="Arial"/>
                <w:b/>
                <w:iCs/>
                <w:szCs w:val="20"/>
              </w:rPr>
              <w:t>ddress</w:t>
            </w:r>
          </w:p>
          <w:p w14:paraId="07C628A6" w14:textId="77777777" w:rsidR="0075434A" w:rsidRPr="008450A6" w:rsidRDefault="0075434A" w:rsidP="00CC78EA">
            <w:pPr>
              <w:pStyle w:val="TableText"/>
              <w:spacing w:after="120"/>
              <w:cnfStyle w:val="000000100000" w:firstRow="0" w:lastRow="0" w:firstColumn="0" w:lastColumn="0" w:oddVBand="0" w:evenVBand="0" w:oddHBand="1" w:evenHBand="0" w:firstRowFirstColumn="0" w:firstRowLastColumn="0" w:lastRowFirstColumn="0" w:lastRowLastColumn="0"/>
              <w:rPr>
                <w:rFonts w:eastAsia="Symbol" w:cs="Arial"/>
                <w:szCs w:val="20"/>
              </w:rPr>
            </w:pPr>
            <w:proofErr w:type="spellStart"/>
            <w:r w:rsidRPr="008450A6">
              <w:rPr>
                <w:rFonts w:cs="Arial"/>
                <w:szCs w:val="20"/>
              </w:rPr>
              <w:t>Vitit</w:t>
            </w:r>
            <w:proofErr w:type="spellEnd"/>
            <w:r w:rsidRPr="008450A6">
              <w:rPr>
                <w:rFonts w:cs="Arial"/>
                <w:szCs w:val="20"/>
              </w:rPr>
              <w:t xml:space="preserve"> </w:t>
            </w:r>
            <w:proofErr w:type="spellStart"/>
            <w:r w:rsidRPr="008450A6">
              <w:rPr>
                <w:rFonts w:cs="Arial"/>
                <w:szCs w:val="20"/>
              </w:rPr>
              <w:t>Muntarbhorn</w:t>
            </w:r>
            <w:proofErr w:type="spellEnd"/>
            <w:r w:rsidRPr="008450A6">
              <w:rPr>
                <w:rFonts w:cs="Arial"/>
                <w:szCs w:val="20"/>
              </w:rPr>
              <w:t>, UN Independent Expert on Sexual Orientation and Gender Identity</w:t>
            </w:r>
          </w:p>
          <w:p w14:paraId="1DD6D8A2" w14:textId="4F4100FF" w:rsidR="0075434A" w:rsidRPr="00CC78EA" w:rsidRDefault="00CC78EA"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sidRPr="00CC78EA">
              <w:rPr>
                <w:rFonts w:cs="Arial"/>
                <w:b/>
                <w:szCs w:val="20"/>
              </w:rPr>
              <w:t>Q &amp; A and d</w:t>
            </w:r>
            <w:r w:rsidR="0075434A" w:rsidRPr="00CC78EA">
              <w:rPr>
                <w:rFonts w:cs="Arial"/>
                <w:b/>
                <w:szCs w:val="20"/>
              </w:rPr>
              <w:t>iscussion</w:t>
            </w:r>
          </w:p>
        </w:tc>
      </w:tr>
      <w:tr w:rsidR="0075434A" w:rsidRPr="008450A6" w14:paraId="0710E112" w14:textId="77777777" w:rsidTr="00B8309C">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9D9D9" w:themeFill="background1" w:themeFillShade="D9"/>
          </w:tcPr>
          <w:p w14:paraId="2CC538E6" w14:textId="77777777" w:rsidR="0075434A" w:rsidRPr="00890675" w:rsidRDefault="0075434A" w:rsidP="008450A6">
            <w:pPr>
              <w:pStyle w:val="TableText"/>
              <w:rPr>
                <w:rFonts w:cs="Arial"/>
                <w:b w:val="0"/>
                <w:szCs w:val="20"/>
              </w:rPr>
            </w:pPr>
            <w:r w:rsidRPr="00890675">
              <w:rPr>
                <w:rFonts w:cs="Arial"/>
                <w:b w:val="0"/>
                <w:szCs w:val="20"/>
              </w:rPr>
              <w:lastRenderedPageBreak/>
              <w:t>10:30 – 11:00</w:t>
            </w:r>
          </w:p>
        </w:tc>
        <w:tc>
          <w:tcPr>
            <w:tcW w:w="7175" w:type="dxa"/>
            <w:tcBorders>
              <w:left w:val="nil"/>
            </w:tcBorders>
            <w:shd w:val="clear" w:color="auto" w:fill="D9D9D9" w:themeFill="background1" w:themeFillShade="D9"/>
          </w:tcPr>
          <w:p w14:paraId="25249265" w14:textId="184EC8C7" w:rsidR="0075434A" w:rsidRPr="008450A6" w:rsidRDefault="00291770" w:rsidP="008450A6">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Coffee break</w:t>
            </w:r>
          </w:p>
        </w:tc>
      </w:tr>
      <w:tr w:rsidR="0075434A" w:rsidRPr="008450A6" w14:paraId="20BBF116"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79A033B0" w14:textId="46027211" w:rsidR="0075434A" w:rsidRPr="00890675" w:rsidRDefault="0075434A" w:rsidP="008450A6">
            <w:pPr>
              <w:pStyle w:val="TableText"/>
              <w:rPr>
                <w:rFonts w:cs="Arial"/>
                <w:b w:val="0"/>
                <w:szCs w:val="20"/>
              </w:rPr>
            </w:pPr>
            <w:r w:rsidRPr="00890675">
              <w:rPr>
                <w:rFonts w:cs="Arial"/>
                <w:b w:val="0"/>
                <w:szCs w:val="20"/>
              </w:rPr>
              <w:t>11:00 – 12:30</w:t>
            </w:r>
          </w:p>
        </w:tc>
        <w:tc>
          <w:tcPr>
            <w:tcW w:w="7175" w:type="dxa"/>
            <w:tcBorders>
              <w:left w:val="nil"/>
            </w:tcBorders>
            <w:shd w:val="clear" w:color="auto" w:fill="DBE5F1" w:themeFill="accent1" w:themeFillTint="33"/>
          </w:tcPr>
          <w:p w14:paraId="11EBDE4D" w14:textId="1309B8C9" w:rsidR="0075434A" w:rsidRPr="00D224F3" w:rsidRDefault="0075434A"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sidRPr="00D224F3">
              <w:rPr>
                <w:rFonts w:cs="Arial"/>
                <w:b/>
                <w:szCs w:val="20"/>
              </w:rPr>
              <w:t>REFLECTING ON THE EMERGENCE OF THE YOGYAKARTA PRINCIPLES, ITS CONTENT</w:t>
            </w:r>
            <w:r w:rsidR="00DC742C">
              <w:rPr>
                <w:rFonts w:cs="Arial"/>
                <w:b/>
                <w:szCs w:val="20"/>
              </w:rPr>
              <w:t xml:space="preserve"> AND APPLICATION OVER 10 YEARS</w:t>
            </w:r>
          </w:p>
        </w:tc>
      </w:tr>
      <w:tr w:rsidR="00291770" w:rsidRPr="008450A6" w14:paraId="5D7EF529" w14:textId="77777777" w:rsidTr="00B8309C">
        <w:trPr>
          <w:trHeight w:val="116"/>
        </w:trPr>
        <w:tc>
          <w:tcPr>
            <w:cnfStyle w:val="001000000000" w:firstRow="0" w:lastRow="0" w:firstColumn="1" w:lastColumn="0" w:oddVBand="0" w:evenVBand="0" w:oddHBand="0" w:evenHBand="0" w:firstRowFirstColumn="0" w:firstRowLastColumn="0" w:lastRowFirstColumn="0" w:lastRowLastColumn="0"/>
            <w:tcW w:w="1897" w:type="dxa"/>
            <w:tcBorders>
              <w:bottom w:val="nil"/>
              <w:right w:val="nil"/>
            </w:tcBorders>
            <w:shd w:val="clear" w:color="auto" w:fill="auto"/>
          </w:tcPr>
          <w:p w14:paraId="521BA066" w14:textId="31A766F3" w:rsidR="00291770" w:rsidRPr="00890675" w:rsidRDefault="00291770" w:rsidP="008450A6">
            <w:pPr>
              <w:pStyle w:val="TableText"/>
              <w:rPr>
                <w:rFonts w:cs="Arial"/>
                <w:b w:val="0"/>
                <w:szCs w:val="20"/>
              </w:rPr>
            </w:pPr>
            <w:r w:rsidRPr="00890675">
              <w:rPr>
                <w:rFonts w:cs="Arial"/>
                <w:b w:val="0"/>
                <w:i/>
                <w:iCs/>
                <w:szCs w:val="20"/>
              </w:rPr>
              <w:t>Objective</w:t>
            </w:r>
          </w:p>
        </w:tc>
        <w:tc>
          <w:tcPr>
            <w:tcW w:w="7175" w:type="dxa"/>
            <w:tcBorders>
              <w:left w:val="nil"/>
              <w:bottom w:val="nil"/>
            </w:tcBorders>
            <w:shd w:val="clear" w:color="auto" w:fill="auto"/>
          </w:tcPr>
          <w:p w14:paraId="35D59341" w14:textId="7DAF966D" w:rsidR="00291770" w:rsidRPr="008450A6" w:rsidRDefault="00291770" w:rsidP="00B8309C">
            <w:pPr>
              <w:pStyle w:val="TableText"/>
              <w:spacing w:after="0"/>
              <w:cnfStyle w:val="000000000000" w:firstRow="0" w:lastRow="0" w:firstColumn="0" w:lastColumn="0" w:oddVBand="0" w:evenVBand="0" w:oddHBand="0" w:evenHBand="0" w:firstRowFirstColumn="0" w:firstRowLastColumn="0" w:lastRowFirstColumn="0" w:lastRowLastColumn="0"/>
              <w:rPr>
                <w:rFonts w:cs="Arial"/>
                <w:szCs w:val="20"/>
              </w:rPr>
            </w:pPr>
            <w:r w:rsidRPr="008450A6">
              <w:rPr>
                <w:rFonts w:cs="Arial"/>
                <w:i/>
                <w:iCs/>
                <w:szCs w:val="20"/>
              </w:rPr>
              <w:t>To provide an historical overview of the Yogyakarta Principles and its application</w:t>
            </w:r>
          </w:p>
        </w:tc>
      </w:tr>
      <w:tr w:rsidR="00291770" w:rsidRPr="008450A6" w14:paraId="362AC28D" w14:textId="77777777" w:rsidTr="00B8309C">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897" w:type="dxa"/>
            <w:tcBorders>
              <w:top w:val="nil"/>
              <w:right w:val="nil"/>
            </w:tcBorders>
            <w:shd w:val="clear" w:color="auto" w:fill="auto"/>
          </w:tcPr>
          <w:p w14:paraId="72A2C0C6" w14:textId="7E255243" w:rsidR="00291770" w:rsidRPr="00890675" w:rsidRDefault="00291770" w:rsidP="00B8309C">
            <w:pPr>
              <w:pStyle w:val="TableText"/>
              <w:spacing w:before="0"/>
              <w:rPr>
                <w:rFonts w:cs="Arial"/>
                <w:b w:val="0"/>
                <w:i/>
                <w:iCs/>
                <w:szCs w:val="20"/>
              </w:rPr>
            </w:pPr>
            <w:proofErr w:type="spellStart"/>
            <w:r>
              <w:rPr>
                <w:rFonts w:cs="Arial"/>
                <w:b w:val="0"/>
                <w:szCs w:val="20"/>
              </w:rPr>
              <w:t>Dusit</w:t>
            </w:r>
            <w:proofErr w:type="spellEnd"/>
            <w:r>
              <w:rPr>
                <w:rFonts w:cs="Arial"/>
                <w:b w:val="0"/>
                <w:szCs w:val="20"/>
              </w:rPr>
              <w:t xml:space="preserve"> </w:t>
            </w:r>
            <w:proofErr w:type="spellStart"/>
            <w:r>
              <w:rPr>
                <w:rFonts w:cs="Arial"/>
                <w:b w:val="0"/>
                <w:szCs w:val="20"/>
              </w:rPr>
              <w:t>Thani</w:t>
            </w:r>
            <w:proofErr w:type="spellEnd"/>
            <w:r>
              <w:rPr>
                <w:rFonts w:cs="Arial"/>
                <w:b w:val="0"/>
                <w:szCs w:val="20"/>
              </w:rPr>
              <w:t xml:space="preserve"> Hall</w:t>
            </w:r>
          </w:p>
        </w:tc>
        <w:tc>
          <w:tcPr>
            <w:tcW w:w="7175" w:type="dxa"/>
            <w:tcBorders>
              <w:top w:val="nil"/>
              <w:left w:val="nil"/>
            </w:tcBorders>
            <w:shd w:val="clear" w:color="auto" w:fill="auto"/>
          </w:tcPr>
          <w:p w14:paraId="542AD213" w14:textId="449B4B00" w:rsidR="00291770" w:rsidRPr="008450A6" w:rsidRDefault="00291770" w:rsidP="00B8309C">
            <w:pPr>
              <w:pStyle w:val="TableText"/>
              <w:spacing w:before="0" w:after="120"/>
              <w:cnfStyle w:val="000000100000" w:firstRow="0" w:lastRow="0" w:firstColumn="0" w:lastColumn="0" w:oddVBand="0" w:evenVBand="0" w:oddHBand="1" w:evenHBand="0" w:firstRowFirstColumn="0" w:firstRowLastColumn="0" w:lastRowFirstColumn="0" w:lastRowLastColumn="0"/>
              <w:rPr>
                <w:rFonts w:cs="Arial"/>
                <w:szCs w:val="20"/>
              </w:rPr>
            </w:pPr>
            <w:r w:rsidRPr="00B8309C">
              <w:rPr>
                <w:rFonts w:cs="Arial"/>
                <w:b/>
                <w:iCs/>
                <w:szCs w:val="20"/>
              </w:rPr>
              <w:t>Moderator</w:t>
            </w:r>
            <w:r w:rsidRPr="00B8309C">
              <w:rPr>
                <w:rFonts w:cs="Arial"/>
                <w:b/>
                <w:iCs/>
                <w:szCs w:val="20"/>
              </w:rPr>
              <w:br/>
            </w:r>
            <w:r w:rsidRPr="008450A6">
              <w:rPr>
                <w:rFonts w:cs="Arial"/>
                <w:szCs w:val="20"/>
              </w:rPr>
              <w:t>Kim Vance, Executive Director, ARC International</w:t>
            </w:r>
          </w:p>
          <w:p w14:paraId="7E725090" w14:textId="77777777" w:rsidR="00B8309C" w:rsidRPr="00B8309C" w:rsidRDefault="00291770" w:rsidP="00B8309C">
            <w:pPr>
              <w:pStyle w:val="TableText"/>
              <w:cnfStyle w:val="000000100000" w:firstRow="0" w:lastRow="0" w:firstColumn="0" w:lastColumn="0" w:oddVBand="0" w:evenVBand="0" w:oddHBand="1" w:evenHBand="0" w:firstRowFirstColumn="0" w:firstRowLastColumn="0" w:lastRowFirstColumn="0" w:lastRowLastColumn="0"/>
              <w:rPr>
                <w:rFonts w:eastAsia="Symbol"/>
                <w:b/>
              </w:rPr>
            </w:pPr>
            <w:r w:rsidRPr="00B8309C">
              <w:rPr>
                <w:b/>
              </w:rPr>
              <w:t>Panel</w:t>
            </w:r>
          </w:p>
          <w:p w14:paraId="2872AE59" w14:textId="3C58A347" w:rsidR="00291770" w:rsidRPr="008450A6" w:rsidRDefault="00291770" w:rsidP="00291770">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 xml:space="preserve">Arvind </w:t>
            </w:r>
            <w:proofErr w:type="spellStart"/>
            <w:r w:rsidRPr="008450A6">
              <w:t>Narrain</w:t>
            </w:r>
            <w:proofErr w:type="spellEnd"/>
            <w:r w:rsidRPr="008450A6">
              <w:t>, Genev</w:t>
            </w:r>
            <w:r w:rsidR="00DC742C">
              <w:t>a Director, ARC International</w:t>
            </w:r>
          </w:p>
          <w:p w14:paraId="529751F1" w14:textId="0583B69A" w:rsidR="00291770" w:rsidRPr="008450A6" w:rsidRDefault="00291770" w:rsidP="00291770">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Karen Gomez-</w:t>
            </w:r>
            <w:proofErr w:type="spellStart"/>
            <w:r w:rsidRPr="008450A6">
              <w:t>Dumpit</w:t>
            </w:r>
            <w:proofErr w:type="spellEnd"/>
            <w:r w:rsidRPr="008450A6">
              <w:t>, Commissioner, Commission on Hu</w:t>
            </w:r>
            <w:r w:rsidR="00DC742C">
              <w:t>man Rights of the Philippines</w:t>
            </w:r>
          </w:p>
          <w:p w14:paraId="122F5A94" w14:textId="4169C447" w:rsidR="00291770" w:rsidRPr="008450A6" w:rsidRDefault="00291770" w:rsidP="00B8309C">
            <w:pPr>
              <w:pStyle w:val="TableBullet"/>
              <w:spacing w:after="120"/>
              <w:cnfStyle w:val="000000100000" w:firstRow="0" w:lastRow="0" w:firstColumn="0" w:lastColumn="0" w:oddVBand="0" w:evenVBand="0" w:oddHBand="1" w:evenHBand="0" w:firstRowFirstColumn="0" w:firstRowLastColumn="0" w:lastRowFirstColumn="0" w:lastRowLastColumn="0"/>
              <w:rPr>
                <w:rFonts w:eastAsia="Symbol"/>
              </w:rPr>
            </w:pPr>
            <w:r w:rsidRPr="008450A6">
              <w:t xml:space="preserve">Sunil </w:t>
            </w:r>
            <w:proofErr w:type="spellStart"/>
            <w:r w:rsidRPr="008450A6">
              <w:t>Babu</w:t>
            </w:r>
            <w:proofErr w:type="spellEnd"/>
            <w:r w:rsidRPr="008450A6">
              <w:t xml:space="preserve"> Pan</w:t>
            </w:r>
            <w:r w:rsidR="00DC742C">
              <w:t>t, Former Member of Parliament</w:t>
            </w:r>
          </w:p>
          <w:p w14:paraId="68CA5BA5" w14:textId="35159F39" w:rsidR="00291770" w:rsidRPr="00B8309C" w:rsidRDefault="00B8309C" w:rsidP="00291770">
            <w:pPr>
              <w:pStyle w:val="TableText"/>
              <w:cnfStyle w:val="000000100000" w:firstRow="0" w:lastRow="0" w:firstColumn="0" w:lastColumn="0" w:oddVBand="0" w:evenVBand="0" w:oddHBand="1" w:evenHBand="0" w:firstRowFirstColumn="0" w:firstRowLastColumn="0" w:lastRowFirstColumn="0" w:lastRowLastColumn="0"/>
              <w:rPr>
                <w:rFonts w:cs="Arial"/>
                <w:b/>
                <w:i/>
                <w:iCs/>
                <w:szCs w:val="20"/>
              </w:rPr>
            </w:pPr>
            <w:r>
              <w:rPr>
                <w:rFonts w:cs="Arial"/>
                <w:b/>
                <w:szCs w:val="20"/>
              </w:rPr>
              <w:t>Q &amp; A and d</w:t>
            </w:r>
            <w:r w:rsidR="00291770" w:rsidRPr="00B8309C">
              <w:rPr>
                <w:rFonts w:cs="Arial"/>
                <w:b/>
                <w:szCs w:val="20"/>
              </w:rPr>
              <w:t>iscussion</w:t>
            </w:r>
          </w:p>
        </w:tc>
      </w:tr>
      <w:tr w:rsidR="0075434A" w:rsidRPr="008450A6" w14:paraId="041A4E13" w14:textId="77777777" w:rsidTr="00B8309C">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9D9D9" w:themeFill="background1" w:themeFillShade="D9"/>
          </w:tcPr>
          <w:p w14:paraId="32D6AF83" w14:textId="66DED542" w:rsidR="0075434A" w:rsidRPr="00890675" w:rsidRDefault="0075434A" w:rsidP="008450A6">
            <w:pPr>
              <w:pStyle w:val="TableText"/>
              <w:rPr>
                <w:rFonts w:cs="Arial"/>
                <w:b w:val="0"/>
                <w:szCs w:val="20"/>
              </w:rPr>
            </w:pPr>
            <w:r w:rsidRPr="00890675">
              <w:rPr>
                <w:rFonts w:cs="Arial"/>
                <w:b w:val="0"/>
                <w:szCs w:val="20"/>
              </w:rPr>
              <w:t>12:30 – 13:30</w:t>
            </w:r>
          </w:p>
        </w:tc>
        <w:tc>
          <w:tcPr>
            <w:tcW w:w="7175" w:type="dxa"/>
            <w:tcBorders>
              <w:left w:val="nil"/>
            </w:tcBorders>
            <w:shd w:val="clear" w:color="auto" w:fill="D9D9D9" w:themeFill="background1" w:themeFillShade="D9"/>
          </w:tcPr>
          <w:p w14:paraId="3FFA65A5" w14:textId="4022D8A5" w:rsidR="0075434A" w:rsidRPr="008450A6" w:rsidRDefault="00291770" w:rsidP="008450A6">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Lunch</w:t>
            </w:r>
          </w:p>
        </w:tc>
      </w:tr>
      <w:tr w:rsidR="0075434A" w:rsidRPr="008450A6" w14:paraId="6DAB009D" w14:textId="77777777" w:rsidTr="00CC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0FD019C4" w14:textId="0895C85D" w:rsidR="0075434A" w:rsidRPr="00890675" w:rsidRDefault="0075434A" w:rsidP="008450A6">
            <w:pPr>
              <w:pStyle w:val="TableText"/>
              <w:rPr>
                <w:rFonts w:cs="Arial"/>
                <w:b w:val="0"/>
                <w:szCs w:val="20"/>
              </w:rPr>
            </w:pPr>
            <w:r w:rsidRPr="00890675">
              <w:rPr>
                <w:rFonts w:cs="Arial"/>
                <w:b w:val="0"/>
                <w:szCs w:val="20"/>
              </w:rPr>
              <w:t>13:30 – 15:00</w:t>
            </w:r>
          </w:p>
        </w:tc>
        <w:tc>
          <w:tcPr>
            <w:tcW w:w="7175" w:type="dxa"/>
            <w:tcBorders>
              <w:left w:val="nil"/>
            </w:tcBorders>
            <w:shd w:val="clear" w:color="auto" w:fill="DBE5F1" w:themeFill="accent1" w:themeFillTint="33"/>
          </w:tcPr>
          <w:p w14:paraId="6B53171F" w14:textId="3FC0545D" w:rsidR="0075434A" w:rsidRPr="00D224F3" w:rsidRDefault="0075434A" w:rsidP="00DC742C">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sidRPr="00D224F3">
              <w:rPr>
                <w:rFonts w:cs="Arial"/>
                <w:b/>
                <w:szCs w:val="20"/>
              </w:rPr>
              <w:t>CHALLENGES, BARRIERS, LIMITATIONS OF THE YOGYAKARTA PRINCIPLES AND HOW</w:t>
            </w:r>
            <w:r w:rsidR="00DC742C">
              <w:rPr>
                <w:rFonts w:cs="Arial"/>
                <w:b/>
                <w:szCs w:val="20"/>
              </w:rPr>
              <w:t xml:space="preserve"> CAN IT BE STRENGTHENED FOR THE FUTURE?</w:t>
            </w:r>
          </w:p>
        </w:tc>
      </w:tr>
      <w:tr w:rsidR="00B8309C" w:rsidRPr="008450A6" w14:paraId="00058F0B" w14:textId="77777777" w:rsidTr="00194DB2">
        <w:trPr>
          <w:trHeight w:val="116"/>
        </w:trPr>
        <w:tc>
          <w:tcPr>
            <w:cnfStyle w:val="001000000000" w:firstRow="0" w:lastRow="0" w:firstColumn="1" w:lastColumn="0" w:oddVBand="0" w:evenVBand="0" w:oddHBand="0" w:evenHBand="0" w:firstRowFirstColumn="0" w:firstRowLastColumn="0" w:lastRowFirstColumn="0" w:lastRowLastColumn="0"/>
            <w:tcW w:w="1897" w:type="dxa"/>
            <w:tcBorders>
              <w:bottom w:val="nil"/>
              <w:right w:val="nil"/>
            </w:tcBorders>
            <w:shd w:val="clear" w:color="auto" w:fill="auto"/>
          </w:tcPr>
          <w:p w14:paraId="21978F4C" w14:textId="77777777" w:rsidR="00B8309C" w:rsidRPr="00890675" w:rsidRDefault="00B8309C" w:rsidP="00B8309C">
            <w:pPr>
              <w:pStyle w:val="TableText"/>
              <w:spacing w:after="0"/>
              <w:rPr>
                <w:rFonts w:cs="Arial"/>
                <w:b w:val="0"/>
                <w:szCs w:val="20"/>
              </w:rPr>
            </w:pPr>
            <w:r w:rsidRPr="00890675">
              <w:rPr>
                <w:rFonts w:cs="Arial"/>
                <w:b w:val="0"/>
                <w:i/>
                <w:iCs/>
                <w:szCs w:val="20"/>
              </w:rPr>
              <w:t>Objective</w:t>
            </w:r>
          </w:p>
        </w:tc>
        <w:tc>
          <w:tcPr>
            <w:tcW w:w="7175" w:type="dxa"/>
            <w:tcBorders>
              <w:left w:val="nil"/>
              <w:bottom w:val="nil"/>
            </w:tcBorders>
            <w:shd w:val="clear" w:color="auto" w:fill="auto"/>
          </w:tcPr>
          <w:p w14:paraId="4E612642" w14:textId="79D76023" w:rsidR="00B8309C" w:rsidRPr="008450A6" w:rsidRDefault="00B8309C" w:rsidP="00B8309C">
            <w:pPr>
              <w:pStyle w:val="TableText"/>
              <w:spacing w:after="0"/>
              <w:cnfStyle w:val="000000000000" w:firstRow="0" w:lastRow="0" w:firstColumn="0" w:lastColumn="0" w:oddVBand="0" w:evenVBand="0" w:oddHBand="0" w:evenHBand="0" w:firstRowFirstColumn="0" w:firstRowLastColumn="0" w:lastRowFirstColumn="0" w:lastRowLastColumn="0"/>
              <w:rPr>
                <w:rFonts w:cs="Arial"/>
                <w:szCs w:val="20"/>
              </w:rPr>
            </w:pPr>
            <w:r w:rsidRPr="008450A6">
              <w:rPr>
                <w:rFonts w:cs="Arial"/>
                <w:i/>
                <w:iCs/>
                <w:szCs w:val="20"/>
              </w:rPr>
              <w:t>To stimulate ideas and discussions where the opportunities lie in strengthening and supplementing the Yogyakarta Principles</w:t>
            </w:r>
          </w:p>
        </w:tc>
      </w:tr>
      <w:tr w:rsidR="0075434A" w:rsidRPr="008450A6" w14:paraId="17D5EB7B" w14:textId="77777777" w:rsidTr="0055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top w:val="nil"/>
              <w:bottom w:val="single" w:sz="6" w:space="0" w:color="0081C6"/>
              <w:right w:val="nil"/>
            </w:tcBorders>
            <w:shd w:val="clear" w:color="auto" w:fill="auto"/>
          </w:tcPr>
          <w:p w14:paraId="520639D2" w14:textId="2A56AAD0" w:rsidR="0075434A" w:rsidRPr="00890675" w:rsidRDefault="00B8309C" w:rsidP="00B8309C">
            <w:pPr>
              <w:pStyle w:val="TableText"/>
              <w:spacing w:before="0"/>
              <w:rPr>
                <w:rFonts w:cs="Arial"/>
                <w:b w:val="0"/>
                <w:szCs w:val="20"/>
              </w:rPr>
            </w:pPr>
            <w:proofErr w:type="spellStart"/>
            <w:r>
              <w:rPr>
                <w:rFonts w:cs="Arial"/>
                <w:b w:val="0"/>
                <w:szCs w:val="20"/>
              </w:rPr>
              <w:t>Dusit</w:t>
            </w:r>
            <w:proofErr w:type="spellEnd"/>
            <w:r>
              <w:rPr>
                <w:rFonts w:cs="Arial"/>
                <w:b w:val="0"/>
                <w:szCs w:val="20"/>
              </w:rPr>
              <w:t xml:space="preserve"> </w:t>
            </w:r>
            <w:proofErr w:type="spellStart"/>
            <w:r>
              <w:rPr>
                <w:rFonts w:cs="Arial"/>
                <w:b w:val="0"/>
                <w:szCs w:val="20"/>
              </w:rPr>
              <w:t>Thani</w:t>
            </w:r>
            <w:proofErr w:type="spellEnd"/>
            <w:r>
              <w:rPr>
                <w:rFonts w:cs="Arial"/>
                <w:b w:val="0"/>
                <w:szCs w:val="20"/>
              </w:rPr>
              <w:t xml:space="preserve"> Hall</w:t>
            </w:r>
          </w:p>
        </w:tc>
        <w:tc>
          <w:tcPr>
            <w:tcW w:w="7175" w:type="dxa"/>
            <w:tcBorders>
              <w:top w:val="nil"/>
              <w:left w:val="nil"/>
              <w:bottom w:val="single" w:sz="6" w:space="0" w:color="0081C6"/>
            </w:tcBorders>
            <w:shd w:val="clear" w:color="auto" w:fill="auto"/>
          </w:tcPr>
          <w:p w14:paraId="50DFC067" w14:textId="430F35B0" w:rsidR="0075434A" w:rsidRDefault="00B8309C" w:rsidP="005372B3">
            <w:pPr>
              <w:pStyle w:val="TableText"/>
              <w:spacing w:before="0" w:after="120"/>
              <w:cnfStyle w:val="000000100000" w:firstRow="0" w:lastRow="0" w:firstColumn="0" w:lastColumn="0" w:oddVBand="0" w:evenVBand="0" w:oddHBand="1" w:evenHBand="0" w:firstRowFirstColumn="0" w:firstRowLastColumn="0" w:lastRowFirstColumn="0" w:lastRowLastColumn="0"/>
              <w:rPr>
                <w:rFonts w:cs="Arial"/>
                <w:szCs w:val="20"/>
              </w:rPr>
            </w:pPr>
            <w:r w:rsidRPr="00B8309C">
              <w:rPr>
                <w:rFonts w:cs="Arial"/>
                <w:b/>
                <w:iCs/>
                <w:szCs w:val="20"/>
              </w:rPr>
              <w:t>Moderator</w:t>
            </w:r>
            <w:r w:rsidRPr="00B8309C">
              <w:rPr>
                <w:rFonts w:cs="Arial"/>
                <w:b/>
                <w:iCs/>
                <w:szCs w:val="20"/>
              </w:rPr>
              <w:br/>
            </w:r>
            <w:r w:rsidR="0075434A" w:rsidRPr="008450A6">
              <w:rPr>
                <w:rFonts w:cs="Arial"/>
                <w:szCs w:val="20"/>
              </w:rPr>
              <w:t>Edmund Settle, Policy Advisor, UNDP Bangkok Regional Hub</w:t>
            </w:r>
          </w:p>
          <w:p w14:paraId="16E902EE" w14:textId="5F218E45" w:rsidR="0075434A" w:rsidRDefault="0075434A" w:rsidP="005372B3">
            <w:pPr>
              <w:pStyle w:val="TableText"/>
              <w:spacing w:after="120"/>
              <w:cnfStyle w:val="000000100000" w:firstRow="0" w:lastRow="0" w:firstColumn="0" w:lastColumn="0" w:oddVBand="0" w:evenVBand="0" w:oddHBand="1" w:evenHBand="0" w:firstRowFirstColumn="0" w:firstRowLastColumn="0" w:lastRowFirstColumn="0" w:lastRowLastColumn="0"/>
              <w:rPr>
                <w:rFonts w:cs="Arial"/>
                <w:szCs w:val="20"/>
              </w:rPr>
            </w:pPr>
            <w:r w:rsidRPr="00B8309C">
              <w:rPr>
                <w:rFonts w:cs="Arial"/>
                <w:b/>
                <w:iCs/>
                <w:szCs w:val="20"/>
              </w:rPr>
              <w:t>Keynote speaker</w:t>
            </w:r>
            <w:r w:rsidR="00B8309C" w:rsidRPr="00B8309C">
              <w:rPr>
                <w:rFonts w:cs="Arial"/>
                <w:b/>
                <w:iCs/>
                <w:szCs w:val="20"/>
              </w:rPr>
              <w:br/>
            </w:r>
            <w:r w:rsidRPr="008450A6">
              <w:rPr>
                <w:rFonts w:cs="Arial"/>
                <w:szCs w:val="20"/>
              </w:rPr>
              <w:t>Honourable Michael Kirby AC CMG, International Jurist, Educator and</w:t>
            </w:r>
            <w:r w:rsidR="005372B3">
              <w:rPr>
                <w:rFonts w:cs="Arial"/>
                <w:szCs w:val="20"/>
              </w:rPr>
              <w:br/>
            </w:r>
            <w:r w:rsidRPr="008450A6">
              <w:rPr>
                <w:rFonts w:cs="Arial"/>
                <w:szCs w:val="20"/>
              </w:rPr>
              <w:t>former Judge</w:t>
            </w:r>
          </w:p>
          <w:p w14:paraId="723D0632" w14:textId="77777777" w:rsidR="005372B3" w:rsidRPr="005372B3" w:rsidRDefault="005372B3"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sidRPr="005372B3">
              <w:rPr>
                <w:rFonts w:cs="Arial"/>
                <w:b/>
                <w:szCs w:val="20"/>
              </w:rPr>
              <w:t>Panel</w:t>
            </w:r>
          </w:p>
          <w:p w14:paraId="2A33ECEA" w14:textId="32EC42AD" w:rsidR="0075434A" w:rsidRPr="008450A6" w:rsidRDefault="0075434A" w:rsidP="005372B3">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Jean Chong, Programme Field Coordinator, Outright Action International</w:t>
            </w:r>
          </w:p>
          <w:p w14:paraId="251493F8" w14:textId="77777777" w:rsidR="0075434A" w:rsidRPr="008450A6" w:rsidRDefault="0075434A" w:rsidP="005372B3">
            <w:pPr>
              <w:pStyle w:val="TableBullet"/>
              <w:cnfStyle w:val="000000100000" w:firstRow="0" w:lastRow="0" w:firstColumn="0" w:lastColumn="0" w:oddVBand="0" w:evenVBand="0" w:oddHBand="1" w:evenHBand="0" w:firstRowFirstColumn="0" w:firstRowLastColumn="0" w:lastRowFirstColumn="0" w:lastRowLastColumn="0"/>
              <w:rPr>
                <w:rFonts w:eastAsia="Symbol"/>
              </w:rPr>
            </w:pPr>
            <w:proofErr w:type="spellStart"/>
            <w:r w:rsidRPr="008450A6">
              <w:t>Vaialia</w:t>
            </w:r>
            <w:proofErr w:type="spellEnd"/>
            <w:r w:rsidRPr="008450A6">
              <w:t xml:space="preserve"> </w:t>
            </w:r>
            <w:proofErr w:type="spellStart"/>
            <w:r w:rsidRPr="008450A6">
              <w:t>Iosua</w:t>
            </w:r>
            <w:proofErr w:type="spellEnd"/>
            <w:r w:rsidRPr="008450A6">
              <w:t xml:space="preserve">, Co-Founder/Former Vice President, Samoa </w:t>
            </w:r>
            <w:proofErr w:type="spellStart"/>
            <w:r w:rsidRPr="008450A6">
              <w:t>Faafafine</w:t>
            </w:r>
            <w:proofErr w:type="spellEnd"/>
            <w:r w:rsidRPr="008450A6">
              <w:t xml:space="preserve"> Association, Inc.</w:t>
            </w:r>
          </w:p>
          <w:p w14:paraId="217D4519" w14:textId="77777777" w:rsidR="0075434A" w:rsidRDefault="0075434A" w:rsidP="005372B3">
            <w:pPr>
              <w:pStyle w:val="TableBullet"/>
              <w:spacing w:after="120"/>
              <w:cnfStyle w:val="000000100000" w:firstRow="0" w:lastRow="0" w:firstColumn="0" w:lastColumn="0" w:oddVBand="0" w:evenVBand="0" w:oddHBand="1" w:evenHBand="0" w:firstRowFirstColumn="0" w:firstRowLastColumn="0" w:lastRowFirstColumn="0" w:lastRowLastColumn="0"/>
            </w:pPr>
            <w:r w:rsidRPr="008450A6">
              <w:t xml:space="preserve">Mauro Cabral </w:t>
            </w:r>
            <w:proofErr w:type="spellStart"/>
            <w:r w:rsidRPr="008450A6">
              <w:t>Grinspan</w:t>
            </w:r>
            <w:proofErr w:type="spellEnd"/>
            <w:r w:rsidRPr="008450A6">
              <w:t>, Executive Director, Global Action for Trans Equality</w:t>
            </w:r>
          </w:p>
          <w:p w14:paraId="4E9DD3DF" w14:textId="39528E8C" w:rsidR="0075434A" w:rsidRPr="005372B3" w:rsidRDefault="0075434A" w:rsidP="008450A6">
            <w:pPr>
              <w:pStyle w:val="TableText"/>
              <w:cnfStyle w:val="000000100000" w:firstRow="0" w:lastRow="0" w:firstColumn="0" w:lastColumn="0" w:oddVBand="0" w:evenVBand="0" w:oddHBand="1" w:evenHBand="0" w:firstRowFirstColumn="0" w:firstRowLastColumn="0" w:lastRowFirstColumn="0" w:lastRowLastColumn="0"/>
              <w:rPr>
                <w:rFonts w:cs="Arial"/>
                <w:b/>
                <w:szCs w:val="20"/>
              </w:rPr>
            </w:pPr>
            <w:r w:rsidRPr="005372B3">
              <w:rPr>
                <w:rFonts w:cs="Arial"/>
                <w:b/>
                <w:szCs w:val="20"/>
              </w:rPr>
              <w:t>Q &amp; A</w:t>
            </w:r>
            <w:r w:rsidR="005372B3" w:rsidRPr="005372B3">
              <w:rPr>
                <w:rFonts w:cs="Arial"/>
                <w:b/>
                <w:szCs w:val="20"/>
              </w:rPr>
              <w:t xml:space="preserve"> and d</w:t>
            </w:r>
            <w:r w:rsidRPr="005372B3">
              <w:rPr>
                <w:rFonts w:cs="Arial"/>
                <w:b/>
                <w:szCs w:val="20"/>
              </w:rPr>
              <w:t>iscussion</w:t>
            </w:r>
          </w:p>
        </w:tc>
      </w:tr>
      <w:tr w:rsidR="0075434A" w:rsidRPr="008450A6" w14:paraId="45C81771" w14:textId="77777777" w:rsidTr="00557AA4">
        <w:tc>
          <w:tcPr>
            <w:cnfStyle w:val="001000000000" w:firstRow="0" w:lastRow="0" w:firstColumn="1" w:lastColumn="0" w:oddVBand="0" w:evenVBand="0" w:oddHBand="0" w:evenHBand="0" w:firstRowFirstColumn="0" w:firstRowLastColumn="0" w:lastRowFirstColumn="0" w:lastRowLastColumn="0"/>
            <w:tcW w:w="1897" w:type="dxa"/>
            <w:tcBorders>
              <w:top w:val="single" w:sz="6" w:space="0" w:color="0081C6"/>
              <w:bottom w:val="single" w:sz="6" w:space="0" w:color="0081C6"/>
              <w:right w:val="nil"/>
            </w:tcBorders>
            <w:shd w:val="clear" w:color="auto" w:fill="D9D9D9" w:themeFill="background1" w:themeFillShade="D9"/>
          </w:tcPr>
          <w:p w14:paraId="0E309B97" w14:textId="26FB0C30" w:rsidR="0075434A" w:rsidRPr="00890675" w:rsidRDefault="0075434A" w:rsidP="008450A6">
            <w:pPr>
              <w:pStyle w:val="TableText"/>
              <w:rPr>
                <w:rFonts w:cs="Arial"/>
                <w:b w:val="0"/>
                <w:szCs w:val="20"/>
              </w:rPr>
            </w:pPr>
            <w:r w:rsidRPr="00890675">
              <w:rPr>
                <w:rFonts w:cs="Arial"/>
                <w:b w:val="0"/>
                <w:szCs w:val="20"/>
              </w:rPr>
              <w:t>15:00 – 15:15</w:t>
            </w:r>
          </w:p>
        </w:tc>
        <w:tc>
          <w:tcPr>
            <w:tcW w:w="7175" w:type="dxa"/>
            <w:tcBorders>
              <w:top w:val="single" w:sz="6" w:space="0" w:color="0081C6"/>
              <w:left w:val="nil"/>
              <w:bottom w:val="single" w:sz="6" w:space="0" w:color="0081C6"/>
            </w:tcBorders>
            <w:shd w:val="clear" w:color="auto" w:fill="D9D9D9" w:themeFill="background1" w:themeFillShade="D9"/>
          </w:tcPr>
          <w:p w14:paraId="5EFA5CD4" w14:textId="484BAB45" w:rsidR="0075434A" w:rsidRPr="008450A6" w:rsidRDefault="00291770" w:rsidP="008450A6">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Coffee break</w:t>
            </w:r>
          </w:p>
        </w:tc>
      </w:tr>
      <w:tr w:rsidR="00557AA4" w:rsidRPr="00676744" w14:paraId="4068057B" w14:textId="77777777" w:rsidTr="00194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0081C6"/>
              <w:left w:val="single" w:sz="4" w:space="0" w:color="0081C6"/>
              <w:bottom w:val="single" w:sz="4" w:space="0" w:color="0081C6"/>
              <w:right w:val="nil"/>
            </w:tcBorders>
            <w:shd w:val="clear" w:color="auto" w:fill="DBE5F1" w:themeFill="accent1" w:themeFillTint="33"/>
          </w:tcPr>
          <w:p w14:paraId="54675BF2" w14:textId="77777777" w:rsidR="00557AA4" w:rsidRPr="00676744" w:rsidRDefault="00557AA4" w:rsidP="00194DB2">
            <w:pPr>
              <w:pStyle w:val="TableText"/>
              <w:rPr>
                <w:rFonts w:cs="Arial"/>
                <w:b w:val="0"/>
                <w:color w:val="000000" w:themeColor="text1"/>
                <w:szCs w:val="20"/>
              </w:rPr>
            </w:pPr>
            <w:r w:rsidRPr="00676744">
              <w:rPr>
                <w:rFonts w:cs="Arial"/>
                <w:b w:val="0"/>
                <w:color w:val="000000" w:themeColor="text1"/>
                <w:szCs w:val="20"/>
              </w:rPr>
              <w:t>15:15 – 16:15</w:t>
            </w:r>
          </w:p>
        </w:tc>
        <w:tc>
          <w:tcPr>
            <w:tcW w:w="7175" w:type="dxa"/>
            <w:tcBorders>
              <w:top w:val="single" w:sz="4" w:space="0" w:color="0081C6"/>
              <w:left w:val="nil"/>
              <w:bottom w:val="single" w:sz="4" w:space="0" w:color="0081C6"/>
              <w:right w:val="single" w:sz="4" w:space="0" w:color="0081C6"/>
            </w:tcBorders>
            <w:shd w:val="clear" w:color="auto" w:fill="DBE5F1" w:themeFill="accent1" w:themeFillTint="33"/>
          </w:tcPr>
          <w:p w14:paraId="1C3F3885" w14:textId="27619AD1" w:rsidR="00557AA4" w:rsidRPr="00557AA4" w:rsidRDefault="00557AA4" w:rsidP="00DC742C">
            <w:pPr>
              <w:pStyle w:val="TableText"/>
              <w:cnfStyle w:val="000000100000" w:firstRow="0" w:lastRow="0" w:firstColumn="0" w:lastColumn="0" w:oddVBand="0" w:evenVBand="0" w:oddHBand="1" w:evenHBand="0" w:firstRowFirstColumn="0" w:firstRowLastColumn="0" w:lastRowFirstColumn="0" w:lastRowLastColumn="0"/>
              <w:rPr>
                <w:rFonts w:cs="Arial"/>
                <w:b/>
                <w:color w:val="000000" w:themeColor="text1"/>
                <w:szCs w:val="20"/>
              </w:rPr>
            </w:pPr>
            <w:r w:rsidRPr="00557AA4">
              <w:rPr>
                <w:rFonts w:cs="Arial"/>
                <w:b/>
                <w:color w:val="000000" w:themeColor="text1"/>
                <w:szCs w:val="20"/>
              </w:rPr>
              <w:t xml:space="preserve">GROUP DISCUSSIONS: HOW </w:t>
            </w:r>
            <w:r w:rsidR="00DC742C">
              <w:rPr>
                <w:rFonts w:cs="Arial"/>
                <w:b/>
                <w:color w:val="000000" w:themeColor="text1"/>
                <w:szCs w:val="20"/>
              </w:rPr>
              <w:t xml:space="preserve">CAN </w:t>
            </w:r>
            <w:r w:rsidRPr="00557AA4">
              <w:rPr>
                <w:rFonts w:cs="Arial"/>
                <w:b/>
                <w:color w:val="000000" w:themeColor="text1"/>
                <w:szCs w:val="20"/>
              </w:rPr>
              <w:t>THE YOGYAKARTA PRINCIPLES BE STRENGTHENED</w:t>
            </w:r>
            <w:r w:rsidR="00DC742C">
              <w:rPr>
                <w:rFonts w:cs="Arial"/>
                <w:b/>
                <w:color w:val="000000" w:themeColor="text1"/>
                <w:szCs w:val="20"/>
              </w:rPr>
              <w:t xml:space="preserve"> AND SUPPLEMENTED FOR THE FUTURE?</w:t>
            </w:r>
          </w:p>
        </w:tc>
      </w:tr>
      <w:tr w:rsidR="00557AA4" w:rsidRPr="008450A6" w14:paraId="09388B32" w14:textId="77777777" w:rsidTr="00557AA4">
        <w:tc>
          <w:tcPr>
            <w:cnfStyle w:val="001000000000" w:firstRow="0" w:lastRow="0" w:firstColumn="1" w:lastColumn="0" w:oddVBand="0" w:evenVBand="0" w:oddHBand="0" w:evenHBand="0" w:firstRowFirstColumn="0" w:firstRowLastColumn="0" w:lastRowFirstColumn="0" w:lastRowLastColumn="0"/>
            <w:tcW w:w="1897" w:type="dxa"/>
            <w:tcBorders>
              <w:top w:val="single" w:sz="6" w:space="0" w:color="0081C6"/>
              <w:bottom w:val="single" w:sz="6" w:space="0" w:color="0081C6"/>
              <w:right w:val="nil"/>
            </w:tcBorders>
            <w:shd w:val="clear" w:color="auto" w:fill="auto"/>
          </w:tcPr>
          <w:p w14:paraId="5136948F" w14:textId="33401335" w:rsidR="00557AA4" w:rsidRPr="00890675" w:rsidRDefault="00557AA4" w:rsidP="008450A6">
            <w:pPr>
              <w:pStyle w:val="TableText"/>
              <w:rPr>
                <w:rFonts w:cs="Arial"/>
                <w:b w:val="0"/>
                <w:szCs w:val="20"/>
              </w:rPr>
            </w:pPr>
            <w:r w:rsidRPr="00890675">
              <w:rPr>
                <w:rFonts w:cs="Arial"/>
                <w:b w:val="0"/>
                <w:i/>
                <w:iCs/>
                <w:szCs w:val="20"/>
              </w:rPr>
              <w:t>Objective</w:t>
            </w:r>
          </w:p>
        </w:tc>
        <w:tc>
          <w:tcPr>
            <w:tcW w:w="7175" w:type="dxa"/>
            <w:tcBorders>
              <w:top w:val="single" w:sz="6" w:space="0" w:color="0081C6"/>
              <w:left w:val="nil"/>
              <w:bottom w:val="single" w:sz="6" w:space="0" w:color="0081C6"/>
            </w:tcBorders>
            <w:shd w:val="clear" w:color="auto" w:fill="auto"/>
          </w:tcPr>
          <w:p w14:paraId="35EE1215" w14:textId="38A0793C" w:rsidR="00557AA4" w:rsidRDefault="00557AA4" w:rsidP="008450A6">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sidRPr="008450A6">
              <w:rPr>
                <w:rFonts w:cs="Arial"/>
                <w:i/>
                <w:iCs/>
                <w:szCs w:val="20"/>
              </w:rPr>
              <w:t>To consider how each sector can contribute to strengthening and supplementing the Yogyakarta Principles, including through building partnerships with the</w:t>
            </w:r>
            <w:r>
              <w:rPr>
                <w:rFonts w:cs="Arial"/>
                <w:i/>
                <w:iCs/>
                <w:szCs w:val="20"/>
              </w:rPr>
              <w:t xml:space="preserve"> State, NHRIs, CSOs and the UN s</w:t>
            </w:r>
            <w:r w:rsidRPr="008450A6">
              <w:rPr>
                <w:rFonts w:cs="Arial"/>
                <w:i/>
                <w:iCs/>
                <w:szCs w:val="20"/>
              </w:rPr>
              <w:t>ystem</w:t>
            </w:r>
          </w:p>
        </w:tc>
      </w:tr>
      <w:tr w:rsidR="00907EB9" w:rsidRPr="008450A6" w14:paraId="044C08DA" w14:textId="77777777" w:rsidTr="00557AA4">
        <w:trPr>
          <w:cnfStyle w:val="000000100000" w:firstRow="0" w:lastRow="0" w:firstColumn="0" w:lastColumn="0" w:oddVBand="0" w:evenVBand="0" w:oddHBand="1"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0081C6"/>
              <w:left w:val="single" w:sz="4" w:space="0" w:color="0081C6"/>
              <w:bottom w:val="single" w:sz="4" w:space="0" w:color="0081C6"/>
            </w:tcBorders>
            <w:shd w:val="clear" w:color="auto" w:fill="auto"/>
          </w:tcPr>
          <w:p w14:paraId="2BEE1797" w14:textId="77777777" w:rsidR="00554241" w:rsidRPr="00557AA4" w:rsidRDefault="00554241" w:rsidP="00554241">
            <w:pPr>
              <w:pStyle w:val="TableText"/>
              <w:keepNext/>
              <w:spacing w:before="0"/>
              <w:rPr>
                <w:rFonts w:cs="Arial"/>
                <w:b w:val="0"/>
                <w:iCs/>
                <w:color w:val="000000" w:themeColor="text1"/>
                <w:szCs w:val="20"/>
              </w:rPr>
            </w:pPr>
          </w:p>
          <w:p w14:paraId="680BC55C" w14:textId="77777777" w:rsidR="00554241" w:rsidRPr="00557AA4" w:rsidRDefault="00554241" w:rsidP="00554241">
            <w:pPr>
              <w:pStyle w:val="TableText"/>
              <w:keepNext/>
              <w:spacing w:before="0"/>
              <w:rPr>
                <w:rFonts w:cs="Arial"/>
                <w:b w:val="0"/>
                <w:iCs/>
                <w:color w:val="000000" w:themeColor="text1"/>
                <w:szCs w:val="20"/>
              </w:rPr>
            </w:pPr>
          </w:p>
          <w:p w14:paraId="269F3B88" w14:textId="77777777" w:rsidR="00554241" w:rsidRPr="00557AA4" w:rsidRDefault="00554241" w:rsidP="00554241">
            <w:pPr>
              <w:pStyle w:val="TableText"/>
              <w:keepNext/>
              <w:spacing w:before="0"/>
              <w:rPr>
                <w:rFonts w:cs="Arial"/>
                <w:b w:val="0"/>
                <w:iCs/>
                <w:color w:val="000000" w:themeColor="text1"/>
                <w:szCs w:val="20"/>
              </w:rPr>
            </w:pPr>
          </w:p>
          <w:p w14:paraId="45BB9378" w14:textId="77777777" w:rsidR="00554241" w:rsidRPr="00557AA4" w:rsidRDefault="00554241" w:rsidP="00554241">
            <w:pPr>
              <w:pStyle w:val="TableText"/>
              <w:keepNext/>
              <w:spacing w:before="0"/>
              <w:rPr>
                <w:rFonts w:cs="Arial"/>
                <w:b w:val="0"/>
                <w:iCs/>
                <w:color w:val="000000" w:themeColor="text1"/>
                <w:szCs w:val="20"/>
              </w:rPr>
            </w:pPr>
          </w:p>
          <w:p w14:paraId="48152BE0" w14:textId="77777777" w:rsidR="00554241" w:rsidRPr="00557AA4" w:rsidRDefault="00554241" w:rsidP="00554241">
            <w:pPr>
              <w:pStyle w:val="TableText"/>
              <w:keepNext/>
              <w:spacing w:before="0"/>
              <w:rPr>
                <w:rFonts w:cs="Arial"/>
                <w:b w:val="0"/>
                <w:iCs/>
                <w:color w:val="000000" w:themeColor="text1"/>
                <w:szCs w:val="20"/>
              </w:rPr>
            </w:pPr>
          </w:p>
          <w:p w14:paraId="5F48E24E" w14:textId="77777777" w:rsidR="00676744" w:rsidRPr="00557AA4" w:rsidRDefault="00676744" w:rsidP="00557AA4">
            <w:pPr>
              <w:pStyle w:val="TableText"/>
              <w:keepNext/>
              <w:rPr>
                <w:rFonts w:cs="Arial"/>
                <w:b w:val="0"/>
                <w:iCs/>
                <w:color w:val="000000" w:themeColor="text1"/>
                <w:szCs w:val="20"/>
              </w:rPr>
            </w:pPr>
            <w:proofErr w:type="spellStart"/>
            <w:r w:rsidRPr="00557AA4">
              <w:rPr>
                <w:rFonts w:cs="Arial"/>
                <w:b w:val="0"/>
                <w:iCs/>
                <w:color w:val="000000" w:themeColor="text1"/>
                <w:szCs w:val="20"/>
              </w:rPr>
              <w:t>Dusit</w:t>
            </w:r>
            <w:proofErr w:type="spellEnd"/>
            <w:r w:rsidRPr="00557AA4">
              <w:rPr>
                <w:rFonts w:cs="Arial"/>
                <w:b w:val="0"/>
                <w:iCs/>
                <w:color w:val="000000" w:themeColor="text1"/>
                <w:szCs w:val="20"/>
              </w:rPr>
              <w:t xml:space="preserve"> </w:t>
            </w:r>
            <w:proofErr w:type="spellStart"/>
            <w:r w:rsidRPr="00557AA4">
              <w:rPr>
                <w:rFonts w:cs="Arial"/>
                <w:b w:val="0"/>
                <w:iCs/>
                <w:color w:val="000000" w:themeColor="text1"/>
                <w:szCs w:val="20"/>
              </w:rPr>
              <w:t>Thani</w:t>
            </w:r>
            <w:proofErr w:type="spellEnd"/>
            <w:r w:rsidRPr="00557AA4">
              <w:rPr>
                <w:rFonts w:cs="Arial"/>
                <w:b w:val="0"/>
                <w:iCs/>
                <w:color w:val="000000" w:themeColor="text1"/>
                <w:szCs w:val="20"/>
              </w:rPr>
              <w:t xml:space="preserve"> Hall</w:t>
            </w:r>
          </w:p>
          <w:p w14:paraId="6F40FC93" w14:textId="77777777" w:rsidR="00554241" w:rsidRPr="00557AA4" w:rsidRDefault="00554241" w:rsidP="00554241">
            <w:pPr>
              <w:pStyle w:val="TableText"/>
              <w:keepNext/>
              <w:spacing w:before="0"/>
              <w:rPr>
                <w:rFonts w:cs="Arial"/>
                <w:b w:val="0"/>
                <w:color w:val="000000" w:themeColor="text1"/>
                <w:szCs w:val="20"/>
              </w:rPr>
            </w:pPr>
          </w:p>
          <w:p w14:paraId="26C535A1" w14:textId="6EF954B0" w:rsidR="00907EB9" w:rsidRPr="00557AA4" w:rsidRDefault="00676744" w:rsidP="00303F78">
            <w:pPr>
              <w:pStyle w:val="TableText"/>
              <w:keepNext/>
              <w:spacing w:before="60"/>
              <w:rPr>
                <w:rFonts w:cs="Arial"/>
                <w:b w:val="0"/>
                <w:color w:val="000000" w:themeColor="text1"/>
                <w:szCs w:val="20"/>
              </w:rPr>
            </w:pPr>
            <w:proofErr w:type="spellStart"/>
            <w:r w:rsidRPr="00557AA4">
              <w:rPr>
                <w:rFonts w:cs="Arial"/>
                <w:b w:val="0"/>
                <w:iCs/>
                <w:color w:val="000000" w:themeColor="text1"/>
                <w:szCs w:val="20"/>
              </w:rPr>
              <w:t>Sathorn</w:t>
            </w:r>
            <w:proofErr w:type="spellEnd"/>
            <w:r w:rsidRPr="00557AA4">
              <w:rPr>
                <w:rFonts w:cs="Arial"/>
                <w:b w:val="0"/>
                <w:iCs/>
                <w:color w:val="000000" w:themeColor="text1"/>
                <w:szCs w:val="20"/>
              </w:rPr>
              <w:t xml:space="preserve"> 1</w:t>
            </w:r>
            <w:r w:rsidR="00D60F8E">
              <w:rPr>
                <w:rFonts w:cs="Arial"/>
                <w:b w:val="0"/>
                <w:iCs/>
                <w:color w:val="000000" w:themeColor="text1"/>
                <w:szCs w:val="20"/>
              </w:rPr>
              <w:t xml:space="preserve"> &amp; 2</w:t>
            </w:r>
          </w:p>
        </w:tc>
        <w:tc>
          <w:tcPr>
            <w:tcW w:w="7175" w:type="dxa"/>
            <w:tcBorders>
              <w:top w:val="single" w:sz="4" w:space="0" w:color="0081C6"/>
              <w:bottom w:val="single" w:sz="4" w:space="0" w:color="0081C6"/>
              <w:right w:val="single" w:sz="4" w:space="0" w:color="0081C6"/>
            </w:tcBorders>
            <w:shd w:val="clear" w:color="auto" w:fill="auto"/>
          </w:tcPr>
          <w:p w14:paraId="09171585" w14:textId="2AD881DC" w:rsidR="00676744" w:rsidRPr="00557AA4" w:rsidRDefault="00676744" w:rsidP="00557AA4">
            <w:pPr>
              <w:pStyle w:val="TableText"/>
              <w:spacing w:after="120"/>
              <w:cnfStyle w:val="000000100000" w:firstRow="0" w:lastRow="0" w:firstColumn="0" w:lastColumn="0" w:oddVBand="0" w:evenVBand="0" w:oddHBand="1" w:evenHBand="0" w:firstRowFirstColumn="0" w:firstRowLastColumn="0" w:lastRowFirstColumn="0" w:lastRowLastColumn="0"/>
              <w:rPr>
                <w:b/>
                <w:color w:val="000000" w:themeColor="text1"/>
              </w:rPr>
            </w:pPr>
            <w:r w:rsidRPr="00557AA4">
              <w:rPr>
                <w:color w:val="000000" w:themeColor="text1"/>
              </w:rPr>
              <w:t>Note: At registration, all participants will be asked to register into one of four groups (Engaging the State (government, parliament and judiciary), Engaging NHRIs, Engaging CSOs and Engaging UN agencies). Four group leaders will bring the groups’ reflections and recommendations to the plenary for a moderated interactive discussion</w:t>
            </w:r>
            <w:r w:rsidR="00554241" w:rsidRPr="00557AA4">
              <w:rPr>
                <w:color w:val="000000" w:themeColor="text1"/>
              </w:rPr>
              <w:t>.</w:t>
            </w:r>
          </w:p>
          <w:p w14:paraId="55A153A6" w14:textId="77777777" w:rsidR="00676744" w:rsidRPr="00557AA4" w:rsidRDefault="00676744" w:rsidP="00554241">
            <w:pPr>
              <w:pStyle w:val="TableText"/>
              <w:keepNext/>
              <w:spacing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9B1F22">
              <w:rPr>
                <w:rFonts w:cs="Arial"/>
                <w:b/>
                <w:iCs/>
                <w:color w:val="000000" w:themeColor="text1"/>
                <w:szCs w:val="20"/>
              </w:rPr>
              <w:t>Moderator</w:t>
            </w:r>
            <w:r w:rsidRPr="005E456C">
              <w:rPr>
                <w:rFonts w:cs="Arial"/>
                <w:iCs/>
                <w:color w:val="000000" w:themeColor="text1"/>
                <w:szCs w:val="20"/>
              </w:rPr>
              <w:br/>
            </w:r>
            <w:r w:rsidRPr="005E456C">
              <w:rPr>
                <w:rFonts w:cs="Arial"/>
                <w:color w:val="000000" w:themeColor="text1"/>
                <w:szCs w:val="20"/>
              </w:rPr>
              <w:t>Nicholas Booth, Human Rights Advisor, UNDP Bangkok Regional Hub</w:t>
            </w:r>
          </w:p>
          <w:p w14:paraId="2912FA52" w14:textId="47E4A005" w:rsidR="00676744" w:rsidRPr="00557AA4" w:rsidRDefault="00676744" w:rsidP="00554241">
            <w:pPr>
              <w:pStyle w:val="TableBullet"/>
              <w:spacing w:after="120"/>
              <w:cnfStyle w:val="000000100000" w:firstRow="0" w:lastRow="0" w:firstColumn="0" w:lastColumn="0" w:oddVBand="0" w:evenVBand="0" w:oddHBand="1" w:evenHBand="0" w:firstRowFirstColumn="0" w:firstRowLastColumn="0" w:lastRowFirstColumn="0" w:lastRowLastColumn="0"/>
              <w:rPr>
                <w:color w:val="000000" w:themeColor="text1"/>
              </w:rPr>
            </w:pPr>
            <w:r w:rsidRPr="005E456C">
              <w:rPr>
                <w:color w:val="000000" w:themeColor="text1"/>
              </w:rPr>
              <w:t>Group 1: Engaging the State (government, parliament and judiciary)</w:t>
            </w:r>
            <w:r w:rsidR="00554241" w:rsidRPr="00557AA4">
              <w:rPr>
                <w:color w:val="000000" w:themeColor="text1"/>
              </w:rPr>
              <w:br/>
            </w:r>
            <w:r w:rsidRPr="005E456C">
              <w:rPr>
                <w:color w:val="000000" w:themeColor="text1"/>
              </w:rPr>
              <w:t>Group leader: Anna Brown, Human Rights Law Centre</w:t>
            </w:r>
          </w:p>
          <w:p w14:paraId="5819EEA9" w14:textId="5A0D73D5" w:rsidR="00676744" w:rsidRPr="005E456C" w:rsidRDefault="00676744" w:rsidP="00554241">
            <w:pPr>
              <w:pStyle w:val="TableBullet"/>
              <w:spacing w:after="120"/>
              <w:cnfStyle w:val="000000100000" w:firstRow="0" w:lastRow="0" w:firstColumn="0" w:lastColumn="0" w:oddVBand="0" w:evenVBand="0" w:oddHBand="1" w:evenHBand="0" w:firstRowFirstColumn="0" w:firstRowLastColumn="0" w:lastRowFirstColumn="0" w:lastRowLastColumn="0"/>
              <w:rPr>
                <w:b/>
                <w:color w:val="000000" w:themeColor="text1"/>
              </w:rPr>
            </w:pPr>
            <w:r w:rsidRPr="005E456C">
              <w:rPr>
                <w:color w:val="000000" w:themeColor="text1"/>
              </w:rPr>
              <w:t>Group 2: Engaging NHRIs</w:t>
            </w:r>
            <w:r w:rsidR="00554241" w:rsidRPr="005E456C">
              <w:rPr>
                <w:color w:val="000000" w:themeColor="text1"/>
              </w:rPr>
              <w:br/>
            </w:r>
            <w:r w:rsidRPr="005E456C">
              <w:rPr>
                <w:color w:val="000000" w:themeColor="text1"/>
              </w:rPr>
              <w:t>Group leader: Ashwin Raj, Fiji Human Rights and Anti-Discrimination Commission</w:t>
            </w:r>
          </w:p>
          <w:p w14:paraId="0518CD75" w14:textId="4FD5C742" w:rsidR="00676744" w:rsidRPr="005E456C" w:rsidRDefault="00676744" w:rsidP="00554241">
            <w:pPr>
              <w:pStyle w:val="TableBullet"/>
              <w:spacing w:after="120"/>
              <w:cnfStyle w:val="000000100000" w:firstRow="0" w:lastRow="0" w:firstColumn="0" w:lastColumn="0" w:oddVBand="0" w:evenVBand="0" w:oddHBand="1" w:evenHBand="0" w:firstRowFirstColumn="0" w:firstRowLastColumn="0" w:lastRowFirstColumn="0" w:lastRowLastColumn="0"/>
              <w:rPr>
                <w:b/>
                <w:color w:val="000000" w:themeColor="text1"/>
              </w:rPr>
            </w:pPr>
            <w:r w:rsidRPr="005E456C">
              <w:rPr>
                <w:color w:val="000000" w:themeColor="text1"/>
              </w:rPr>
              <w:t>Group 3: Engaging CSOs</w:t>
            </w:r>
            <w:r w:rsidR="00554241" w:rsidRPr="005E456C">
              <w:rPr>
                <w:color w:val="000000" w:themeColor="text1"/>
              </w:rPr>
              <w:br/>
            </w:r>
            <w:r w:rsidRPr="005E456C">
              <w:rPr>
                <w:color w:val="000000" w:themeColor="text1"/>
              </w:rPr>
              <w:t>Group leader: Bin Xu, Common Language</w:t>
            </w:r>
          </w:p>
          <w:p w14:paraId="76A71E8D" w14:textId="2611F344" w:rsidR="00907EB9" w:rsidRPr="00557AA4" w:rsidRDefault="00676744" w:rsidP="00554241">
            <w:pPr>
              <w:pStyle w:val="TableBullet"/>
              <w:spacing w:after="0"/>
              <w:cnfStyle w:val="000000100000" w:firstRow="0" w:lastRow="0" w:firstColumn="0" w:lastColumn="0" w:oddVBand="0" w:evenVBand="0" w:oddHBand="1" w:evenHBand="0" w:firstRowFirstColumn="0" w:firstRowLastColumn="0" w:lastRowFirstColumn="0" w:lastRowLastColumn="0"/>
              <w:rPr>
                <w:iCs/>
                <w:color w:val="000000" w:themeColor="text1"/>
              </w:rPr>
            </w:pPr>
            <w:r w:rsidRPr="005E456C">
              <w:rPr>
                <w:iCs/>
                <w:color w:val="000000" w:themeColor="text1"/>
              </w:rPr>
              <w:t>Group 4: Engaging UN agencies</w:t>
            </w:r>
            <w:r w:rsidR="00554241" w:rsidRPr="005E456C">
              <w:rPr>
                <w:iCs/>
                <w:color w:val="000000" w:themeColor="text1"/>
              </w:rPr>
              <w:br/>
            </w:r>
            <w:r w:rsidRPr="005E456C">
              <w:rPr>
                <w:iCs/>
                <w:color w:val="000000" w:themeColor="text1"/>
              </w:rPr>
              <w:t>Group leader: Brianna Harrison, UNAIDS</w:t>
            </w:r>
          </w:p>
        </w:tc>
      </w:tr>
      <w:tr w:rsidR="00676744" w:rsidRPr="008450A6" w14:paraId="09913CC9" w14:textId="77777777" w:rsidTr="00557AA4">
        <w:trPr>
          <w:trHeight w:val="25"/>
        </w:trPr>
        <w:tc>
          <w:tcPr>
            <w:cnfStyle w:val="001000000000" w:firstRow="0" w:lastRow="0" w:firstColumn="1" w:lastColumn="0" w:oddVBand="0" w:evenVBand="0" w:oddHBand="0" w:evenHBand="0" w:firstRowFirstColumn="0" w:firstRowLastColumn="0" w:lastRowFirstColumn="0" w:lastRowLastColumn="0"/>
            <w:tcW w:w="1897" w:type="dxa"/>
            <w:tcBorders>
              <w:top w:val="single" w:sz="4" w:space="0" w:color="0081C6"/>
              <w:right w:val="nil"/>
            </w:tcBorders>
            <w:shd w:val="clear" w:color="auto" w:fill="auto"/>
          </w:tcPr>
          <w:p w14:paraId="0B13242E" w14:textId="603251C2" w:rsidR="00676744" w:rsidRPr="00DF5C13" w:rsidRDefault="00676744" w:rsidP="00554241">
            <w:pPr>
              <w:pStyle w:val="TableText"/>
              <w:keepNext/>
              <w:spacing w:before="0"/>
              <w:rPr>
                <w:rFonts w:cs="Arial"/>
                <w:b w:val="0"/>
                <w:iCs/>
                <w:szCs w:val="20"/>
              </w:rPr>
            </w:pPr>
            <w:r w:rsidRPr="00DF5C13">
              <w:rPr>
                <w:rFonts w:cs="Arial"/>
                <w:b w:val="0"/>
                <w:iCs/>
                <w:szCs w:val="20"/>
              </w:rPr>
              <w:t>16:15 – 17:00</w:t>
            </w:r>
          </w:p>
        </w:tc>
        <w:tc>
          <w:tcPr>
            <w:tcW w:w="7175" w:type="dxa"/>
            <w:tcBorders>
              <w:top w:val="single" w:sz="4" w:space="0" w:color="0081C6"/>
              <w:left w:val="nil"/>
            </w:tcBorders>
            <w:shd w:val="clear" w:color="auto" w:fill="auto"/>
          </w:tcPr>
          <w:p w14:paraId="785FAD88" w14:textId="47EC1E2F" w:rsidR="00676744" w:rsidRPr="00676744" w:rsidRDefault="00676744" w:rsidP="00554241">
            <w:pPr>
              <w:pStyle w:val="TableText"/>
              <w:keepNext/>
              <w:spacing w:before="0"/>
              <w:cnfStyle w:val="000000000000" w:firstRow="0" w:lastRow="0" w:firstColumn="0" w:lastColumn="0" w:oddVBand="0" w:evenVBand="0" w:oddHBand="0" w:evenHBand="0" w:firstRowFirstColumn="0" w:firstRowLastColumn="0" w:lastRowFirstColumn="0" w:lastRowLastColumn="0"/>
              <w:rPr>
                <w:rFonts w:cs="Arial"/>
                <w:b/>
                <w:szCs w:val="20"/>
              </w:rPr>
            </w:pPr>
            <w:r w:rsidRPr="008450A6">
              <w:rPr>
                <w:rFonts w:cs="Arial"/>
                <w:szCs w:val="20"/>
              </w:rPr>
              <w:t xml:space="preserve">Moderated interactive discussion with </w:t>
            </w:r>
            <w:r>
              <w:rPr>
                <w:rFonts w:cs="Arial"/>
                <w:szCs w:val="20"/>
              </w:rPr>
              <w:t>group l</w:t>
            </w:r>
            <w:r w:rsidRPr="008450A6">
              <w:rPr>
                <w:rFonts w:cs="Arial"/>
                <w:szCs w:val="20"/>
              </w:rPr>
              <w:t>eaders</w:t>
            </w:r>
          </w:p>
        </w:tc>
      </w:tr>
      <w:tr w:rsidR="0075434A" w:rsidRPr="008450A6" w14:paraId="5E53E43C" w14:textId="77777777" w:rsidTr="00B8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9D9D9" w:themeFill="background1" w:themeFillShade="D9"/>
          </w:tcPr>
          <w:p w14:paraId="51D4EB64" w14:textId="44A695EC" w:rsidR="0075434A" w:rsidRPr="00890675" w:rsidRDefault="0075434A" w:rsidP="008450A6">
            <w:pPr>
              <w:pStyle w:val="TableText"/>
              <w:rPr>
                <w:rFonts w:cs="Arial"/>
                <w:b w:val="0"/>
                <w:szCs w:val="20"/>
              </w:rPr>
            </w:pPr>
            <w:r w:rsidRPr="00890675">
              <w:rPr>
                <w:rFonts w:cs="Arial"/>
                <w:b w:val="0"/>
                <w:szCs w:val="20"/>
              </w:rPr>
              <w:t>17:00</w:t>
            </w:r>
          </w:p>
        </w:tc>
        <w:tc>
          <w:tcPr>
            <w:tcW w:w="7175" w:type="dxa"/>
            <w:tcBorders>
              <w:left w:val="nil"/>
            </w:tcBorders>
            <w:shd w:val="clear" w:color="auto" w:fill="D9D9D9" w:themeFill="background1" w:themeFillShade="D9"/>
          </w:tcPr>
          <w:p w14:paraId="5FF53DE2" w14:textId="17170378" w:rsidR="0075434A" w:rsidRPr="008450A6" w:rsidRDefault="00291770"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Close</w:t>
            </w:r>
          </w:p>
        </w:tc>
      </w:tr>
      <w:tr w:rsidR="00890675" w:rsidRPr="00554241" w14:paraId="3494EEB0" w14:textId="77777777" w:rsidTr="00CC78EA">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81C6"/>
          </w:tcPr>
          <w:p w14:paraId="794DB13A" w14:textId="2720AC2C" w:rsidR="0075434A" w:rsidRPr="00554241" w:rsidRDefault="0075434A" w:rsidP="00AF6EA5">
            <w:pPr>
              <w:pStyle w:val="Heading2"/>
              <w:spacing w:before="0" w:after="0"/>
              <w:ind w:left="0" w:firstLine="0"/>
              <w:outlineLvl w:val="1"/>
              <w:rPr>
                <w:color w:val="FFFFFF" w:themeColor="background1"/>
                <w:sz w:val="28"/>
              </w:rPr>
            </w:pPr>
            <w:r w:rsidRPr="00554241">
              <w:rPr>
                <w:b w:val="0"/>
                <w:color w:val="FFFFFF" w:themeColor="background1"/>
                <w:sz w:val="28"/>
              </w:rPr>
              <w:br w:type="page"/>
            </w:r>
            <w:bookmarkStart w:id="95" w:name="_Toc491332790"/>
            <w:r w:rsidR="00890675" w:rsidRPr="00554241">
              <w:rPr>
                <w:color w:val="FFFFFF" w:themeColor="background1"/>
                <w:sz w:val="28"/>
              </w:rPr>
              <w:t>Day</w:t>
            </w:r>
            <w:r w:rsidRPr="00554241">
              <w:rPr>
                <w:color w:val="FFFFFF" w:themeColor="background1"/>
                <w:sz w:val="28"/>
              </w:rPr>
              <w:t xml:space="preserve"> 2</w:t>
            </w:r>
            <w:r w:rsidR="00890675" w:rsidRPr="00554241">
              <w:rPr>
                <w:color w:val="FFFFFF" w:themeColor="background1"/>
                <w:sz w:val="28"/>
              </w:rPr>
              <w:t xml:space="preserve"> – Wednesday </w:t>
            </w:r>
            <w:r w:rsidRPr="00554241">
              <w:rPr>
                <w:color w:val="FFFFFF" w:themeColor="background1"/>
                <w:sz w:val="28"/>
              </w:rPr>
              <w:t>26 April 2017</w:t>
            </w:r>
            <w:bookmarkEnd w:id="95"/>
          </w:p>
        </w:tc>
      </w:tr>
      <w:tr w:rsidR="0075434A" w:rsidRPr="008450A6" w14:paraId="3BD7ACA2" w14:textId="77777777" w:rsidTr="00B8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06E0DFDD" w14:textId="33879AA3" w:rsidR="0075434A" w:rsidRPr="00890675" w:rsidRDefault="0075434A" w:rsidP="008450A6">
            <w:pPr>
              <w:pStyle w:val="TableText"/>
              <w:rPr>
                <w:rFonts w:cs="Arial"/>
                <w:b w:val="0"/>
                <w:szCs w:val="20"/>
              </w:rPr>
            </w:pPr>
            <w:r w:rsidRPr="00890675">
              <w:rPr>
                <w:rFonts w:cs="Arial"/>
                <w:b w:val="0"/>
                <w:szCs w:val="20"/>
              </w:rPr>
              <w:t>08:30 – 08:45</w:t>
            </w:r>
          </w:p>
        </w:tc>
        <w:tc>
          <w:tcPr>
            <w:tcW w:w="7175" w:type="dxa"/>
            <w:tcBorders>
              <w:left w:val="nil"/>
            </w:tcBorders>
            <w:shd w:val="clear" w:color="auto" w:fill="auto"/>
          </w:tcPr>
          <w:p w14:paraId="1634B56D" w14:textId="1234CC13" w:rsidR="0075434A" w:rsidRPr="008450A6" w:rsidRDefault="00554241"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Day 1 r</w:t>
            </w:r>
            <w:r w:rsidR="0075434A" w:rsidRPr="008450A6">
              <w:rPr>
                <w:rFonts w:cs="Arial"/>
                <w:szCs w:val="20"/>
              </w:rPr>
              <w:t>ecap – Overview of Day 1’s discussions</w:t>
            </w:r>
          </w:p>
          <w:p w14:paraId="28CF82BF" w14:textId="5B1C723E" w:rsidR="0075434A" w:rsidRPr="008450A6" w:rsidRDefault="00554241" w:rsidP="00EB6B1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sidRPr="00554241">
              <w:rPr>
                <w:rFonts w:cs="Arial"/>
                <w:b/>
                <w:szCs w:val="20"/>
              </w:rPr>
              <w:t>Conference Rapporteur</w:t>
            </w:r>
            <w:r w:rsidR="00EB6B16">
              <w:rPr>
                <w:rFonts w:cs="Arial"/>
                <w:b/>
                <w:szCs w:val="20"/>
              </w:rPr>
              <w:t xml:space="preserve">: </w:t>
            </w:r>
            <w:r>
              <w:rPr>
                <w:rFonts w:cs="Arial"/>
                <w:szCs w:val="20"/>
              </w:rPr>
              <w:t xml:space="preserve">Ahmed </w:t>
            </w:r>
            <w:proofErr w:type="spellStart"/>
            <w:r>
              <w:rPr>
                <w:rFonts w:cs="Arial"/>
                <w:szCs w:val="20"/>
              </w:rPr>
              <w:t>Shahid</w:t>
            </w:r>
            <w:proofErr w:type="spellEnd"/>
          </w:p>
        </w:tc>
      </w:tr>
      <w:tr w:rsidR="0075434A" w:rsidRPr="008450A6" w14:paraId="6C9315AB" w14:textId="77777777" w:rsidTr="00B8309C">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0393B10A" w14:textId="66912804" w:rsidR="0075434A" w:rsidRPr="00890675" w:rsidRDefault="0075434A" w:rsidP="008450A6">
            <w:pPr>
              <w:pStyle w:val="TableText"/>
              <w:rPr>
                <w:rFonts w:cs="Arial"/>
                <w:b w:val="0"/>
                <w:szCs w:val="20"/>
              </w:rPr>
            </w:pPr>
            <w:r w:rsidRPr="00890675">
              <w:rPr>
                <w:rFonts w:cs="Arial"/>
                <w:b w:val="0"/>
                <w:szCs w:val="20"/>
              </w:rPr>
              <w:t>08:45 – 08:55</w:t>
            </w:r>
          </w:p>
        </w:tc>
        <w:tc>
          <w:tcPr>
            <w:tcW w:w="7175" w:type="dxa"/>
            <w:tcBorders>
              <w:left w:val="nil"/>
            </w:tcBorders>
            <w:shd w:val="clear" w:color="auto" w:fill="auto"/>
          </w:tcPr>
          <w:p w14:paraId="717FEE93" w14:textId="69B915AA" w:rsidR="0075434A" w:rsidRPr="008450A6" w:rsidRDefault="0075434A" w:rsidP="00D26357">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sidRPr="008450A6">
              <w:rPr>
                <w:rFonts w:cs="Arial"/>
                <w:szCs w:val="20"/>
              </w:rPr>
              <w:t>Housekeeping on Workstation Sessions</w:t>
            </w:r>
          </w:p>
          <w:p w14:paraId="4B829B78" w14:textId="5308D6F0" w:rsidR="0075434A" w:rsidRPr="008450A6" w:rsidRDefault="0075434A" w:rsidP="00EB6B16">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sidRPr="00554241">
              <w:rPr>
                <w:rFonts w:cs="Arial"/>
                <w:b/>
                <w:iCs/>
                <w:szCs w:val="20"/>
              </w:rPr>
              <w:t>Moderator</w:t>
            </w:r>
            <w:r w:rsidR="00EB6B16">
              <w:rPr>
                <w:rFonts w:cs="Arial"/>
                <w:b/>
                <w:iCs/>
                <w:szCs w:val="20"/>
              </w:rPr>
              <w:t xml:space="preserve">: </w:t>
            </w:r>
            <w:r w:rsidRPr="008450A6">
              <w:rPr>
                <w:rFonts w:cs="Arial"/>
                <w:szCs w:val="20"/>
              </w:rPr>
              <w:t>Jack Byrne,</w:t>
            </w:r>
            <w:r w:rsidRPr="008450A6">
              <w:rPr>
                <w:rFonts w:cs="Arial"/>
                <w:i/>
                <w:iCs/>
                <w:szCs w:val="20"/>
              </w:rPr>
              <w:t xml:space="preserve"> </w:t>
            </w:r>
            <w:r w:rsidRPr="008450A6">
              <w:rPr>
                <w:rFonts w:cs="Arial"/>
                <w:szCs w:val="20"/>
              </w:rPr>
              <w:t>Trans Human Rights Researcher</w:t>
            </w:r>
          </w:p>
        </w:tc>
      </w:tr>
      <w:tr w:rsidR="0075434A" w:rsidRPr="008450A6" w14:paraId="2F630767" w14:textId="77777777" w:rsidTr="00B8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34E39EA4" w14:textId="7E5ED345" w:rsidR="0075434A" w:rsidRPr="00890675" w:rsidRDefault="0075434A" w:rsidP="008450A6">
            <w:pPr>
              <w:pStyle w:val="TableText"/>
              <w:rPr>
                <w:rFonts w:cs="Arial"/>
                <w:b w:val="0"/>
                <w:szCs w:val="20"/>
              </w:rPr>
            </w:pPr>
            <w:r w:rsidRPr="00890675">
              <w:rPr>
                <w:rFonts w:cs="Arial"/>
                <w:b w:val="0"/>
                <w:szCs w:val="20"/>
              </w:rPr>
              <w:t>08:55 – 09:00</w:t>
            </w:r>
          </w:p>
        </w:tc>
        <w:tc>
          <w:tcPr>
            <w:tcW w:w="7175" w:type="dxa"/>
            <w:tcBorders>
              <w:left w:val="nil"/>
            </w:tcBorders>
            <w:shd w:val="clear" w:color="auto" w:fill="auto"/>
          </w:tcPr>
          <w:p w14:paraId="79FE6484" w14:textId="16DC0384" w:rsidR="0075434A" w:rsidRPr="008450A6" w:rsidRDefault="0075434A"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sidRPr="008450A6">
              <w:rPr>
                <w:rFonts w:cs="Arial"/>
                <w:szCs w:val="20"/>
              </w:rPr>
              <w:t>Participants move to Workstations</w:t>
            </w:r>
          </w:p>
        </w:tc>
      </w:tr>
      <w:tr w:rsidR="0075434A" w:rsidRPr="008450A6" w14:paraId="0695AFB2" w14:textId="77777777" w:rsidTr="00CC78EA">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2E1C5C4F" w14:textId="117FA5C3" w:rsidR="0075434A" w:rsidRPr="00890675" w:rsidRDefault="0075434A" w:rsidP="008450A6">
            <w:pPr>
              <w:pStyle w:val="TableText"/>
              <w:rPr>
                <w:rFonts w:cs="Arial"/>
                <w:b w:val="0"/>
                <w:szCs w:val="20"/>
              </w:rPr>
            </w:pPr>
            <w:r w:rsidRPr="00890675">
              <w:rPr>
                <w:rFonts w:cs="Arial"/>
                <w:b w:val="0"/>
                <w:szCs w:val="20"/>
              </w:rPr>
              <w:t>09:00 – 12:00</w:t>
            </w:r>
          </w:p>
        </w:tc>
        <w:tc>
          <w:tcPr>
            <w:tcW w:w="7175" w:type="dxa"/>
            <w:tcBorders>
              <w:left w:val="nil"/>
            </w:tcBorders>
            <w:shd w:val="clear" w:color="auto" w:fill="DBE5F1" w:themeFill="accent1" w:themeFillTint="33"/>
          </w:tcPr>
          <w:p w14:paraId="6421FA8C" w14:textId="6906F644" w:rsidR="0075434A" w:rsidRPr="00D224F3" w:rsidRDefault="0075434A" w:rsidP="008450A6">
            <w:pPr>
              <w:pStyle w:val="TableText"/>
              <w:cnfStyle w:val="000000000000" w:firstRow="0" w:lastRow="0" w:firstColumn="0" w:lastColumn="0" w:oddVBand="0" w:evenVBand="0" w:oddHBand="0" w:evenHBand="0" w:firstRowFirstColumn="0" w:firstRowLastColumn="0" w:lastRowFirstColumn="0" w:lastRowLastColumn="0"/>
              <w:rPr>
                <w:rFonts w:cs="Arial"/>
                <w:b/>
                <w:szCs w:val="20"/>
              </w:rPr>
            </w:pPr>
            <w:r w:rsidRPr="00D224F3">
              <w:rPr>
                <w:rFonts w:cs="Arial"/>
                <w:b/>
                <w:szCs w:val="20"/>
              </w:rPr>
              <w:t>THEMATIC WORKSTATION SESSIONS</w:t>
            </w:r>
          </w:p>
        </w:tc>
      </w:tr>
      <w:tr w:rsidR="00EA34DD" w:rsidRPr="008450A6" w14:paraId="2B53BCD3" w14:textId="77777777" w:rsidTr="00194DB2">
        <w:trPr>
          <w:cnfStyle w:val="000000100000" w:firstRow="0" w:lastRow="0" w:firstColumn="0" w:lastColumn="0" w:oddVBand="0" w:evenVBand="0" w:oddHBand="1" w:evenHBand="0" w:firstRowFirstColumn="0" w:firstRowLastColumn="0" w:lastRowFirstColumn="0" w:lastRowLastColumn="0"/>
          <w:trHeight w:val="3095"/>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196D7A8A" w14:textId="77777777" w:rsidR="00EA34DD" w:rsidRDefault="00EA34DD" w:rsidP="008450A6">
            <w:pPr>
              <w:pStyle w:val="TableText"/>
              <w:rPr>
                <w:rFonts w:cs="Arial"/>
                <w:b w:val="0"/>
                <w:i/>
                <w:iCs/>
                <w:szCs w:val="20"/>
              </w:rPr>
            </w:pPr>
            <w:r w:rsidRPr="00890675">
              <w:rPr>
                <w:rFonts w:cs="Arial"/>
                <w:b w:val="0"/>
                <w:i/>
                <w:iCs/>
                <w:szCs w:val="20"/>
              </w:rPr>
              <w:t>Objective</w:t>
            </w:r>
          </w:p>
          <w:p w14:paraId="79599FC8" w14:textId="77777777" w:rsidR="00EA34DD" w:rsidRDefault="00EA34DD" w:rsidP="008450A6">
            <w:pPr>
              <w:pStyle w:val="TableText"/>
              <w:rPr>
                <w:rFonts w:cs="Arial"/>
                <w:b w:val="0"/>
                <w:i/>
                <w:iCs/>
                <w:szCs w:val="20"/>
              </w:rPr>
            </w:pPr>
          </w:p>
          <w:p w14:paraId="7E53BBB5" w14:textId="77777777" w:rsidR="00EA34DD" w:rsidRPr="00890675" w:rsidRDefault="00EA34DD" w:rsidP="008450A6">
            <w:pPr>
              <w:pStyle w:val="TableText"/>
              <w:rPr>
                <w:rFonts w:cs="Arial"/>
                <w:bCs w:val="0"/>
                <w:szCs w:val="20"/>
              </w:rPr>
            </w:pPr>
          </w:p>
          <w:p w14:paraId="549B2837" w14:textId="1802BF60" w:rsidR="00EA34DD" w:rsidRPr="00890675" w:rsidRDefault="00EA34DD" w:rsidP="00EA34DD">
            <w:pPr>
              <w:pStyle w:val="TableText"/>
              <w:spacing w:before="60"/>
              <w:rPr>
                <w:rFonts w:cs="Arial"/>
                <w:b w:val="0"/>
                <w:szCs w:val="20"/>
              </w:rPr>
            </w:pPr>
            <w:proofErr w:type="spellStart"/>
            <w:r w:rsidRPr="00DF5C13">
              <w:rPr>
                <w:rFonts w:cs="Arial"/>
                <w:b w:val="0"/>
                <w:iCs/>
                <w:szCs w:val="20"/>
              </w:rPr>
              <w:t>Dusit</w:t>
            </w:r>
            <w:proofErr w:type="spellEnd"/>
            <w:r w:rsidRPr="00DF5C13">
              <w:rPr>
                <w:rFonts w:cs="Arial"/>
                <w:b w:val="0"/>
                <w:iCs/>
                <w:szCs w:val="20"/>
              </w:rPr>
              <w:t xml:space="preserve"> </w:t>
            </w:r>
            <w:proofErr w:type="spellStart"/>
            <w:r w:rsidRPr="00DF5C13">
              <w:rPr>
                <w:rFonts w:cs="Arial"/>
                <w:b w:val="0"/>
                <w:iCs/>
                <w:szCs w:val="20"/>
              </w:rPr>
              <w:t>Thani</w:t>
            </w:r>
            <w:proofErr w:type="spellEnd"/>
            <w:r w:rsidRPr="00DF5C13">
              <w:rPr>
                <w:rFonts w:cs="Arial"/>
                <w:b w:val="0"/>
                <w:iCs/>
                <w:szCs w:val="20"/>
              </w:rPr>
              <w:t xml:space="preserve"> Hall</w:t>
            </w:r>
          </w:p>
        </w:tc>
        <w:tc>
          <w:tcPr>
            <w:tcW w:w="7175" w:type="dxa"/>
            <w:tcBorders>
              <w:left w:val="nil"/>
            </w:tcBorders>
            <w:shd w:val="clear" w:color="auto" w:fill="auto"/>
          </w:tcPr>
          <w:p w14:paraId="2C3E5D61" w14:textId="77777777" w:rsidR="00EA34DD" w:rsidRPr="008450A6" w:rsidRDefault="00EA34DD"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sidRPr="008450A6">
              <w:rPr>
                <w:rFonts w:cs="Arial"/>
                <w:i/>
                <w:iCs/>
                <w:szCs w:val="20"/>
              </w:rPr>
              <w:t>To discuss (</w:t>
            </w:r>
            <w:proofErr w:type="spellStart"/>
            <w:r w:rsidRPr="008450A6">
              <w:rPr>
                <w:rFonts w:cs="Arial"/>
                <w:i/>
                <w:iCs/>
                <w:szCs w:val="20"/>
              </w:rPr>
              <w:t>i</w:t>
            </w:r>
            <w:proofErr w:type="spellEnd"/>
            <w:r w:rsidRPr="008450A6">
              <w:rPr>
                <w:rFonts w:cs="Arial"/>
                <w:i/>
                <w:iCs/>
                <w:szCs w:val="20"/>
              </w:rPr>
              <w:t>) gaps in the Yogyakarta Principles in relation to the workstation topic; and (ii) the roles of specific actors in implementing the Yogyakarta Principles and evolving international human rights standards</w:t>
            </w:r>
          </w:p>
          <w:p w14:paraId="6F9122A2" w14:textId="66C78D9B" w:rsidR="00EA34DD" w:rsidRPr="008450A6" w:rsidRDefault="00EA34DD" w:rsidP="00EA34DD">
            <w:pPr>
              <w:pStyle w:val="TableText"/>
              <w:spacing w:before="120" w:after="120"/>
              <w:cnfStyle w:val="000000100000" w:firstRow="0" w:lastRow="0" w:firstColumn="0" w:lastColumn="0" w:oddVBand="0" w:evenVBand="0" w:oddHBand="1" w:evenHBand="0" w:firstRowFirstColumn="0" w:firstRowLastColumn="0" w:lastRowFirstColumn="0" w:lastRowLastColumn="0"/>
              <w:rPr>
                <w:rFonts w:cs="Arial"/>
                <w:szCs w:val="20"/>
              </w:rPr>
            </w:pPr>
            <w:r w:rsidRPr="00EA34DD">
              <w:rPr>
                <w:rFonts w:cs="Arial"/>
                <w:b/>
                <w:iCs/>
                <w:szCs w:val="20"/>
              </w:rPr>
              <w:t>Moderator</w:t>
            </w:r>
            <w:r w:rsidRPr="00EA34DD">
              <w:rPr>
                <w:rFonts w:cs="Arial"/>
                <w:b/>
                <w:iCs/>
                <w:szCs w:val="20"/>
              </w:rPr>
              <w:br/>
            </w:r>
            <w:r w:rsidRPr="008450A6">
              <w:rPr>
                <w:rFonts w:cs="Arial"/>
                <w:szCs w:val="20"/>
              </w:rPr>
              <w:t>Jack Byrne</w:t>
            </w:r>
          </w:p>
          <w:p w14:paraId="2DEA9D3C"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rsidRPr="008450A6">
              <w:t>Workstation 1: Intersex</w:t>
            </w:r>
          </w:p>
          <w:p w14:paraId="1C9ECE5B"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t>Workstation 2: Gender i</w:t>
            </w:r>
            <w:r w:rsidRPr="008450A6">
              <w:t>dentity</w:t>
            </w:r>
          </w:p>
          <w:p w14:paraId="135F3E72"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t>Workstation 3: Faith, culture and f</w:t>
            </w:r>
            <w:r w:rsidRPr="008450A6">
              <w:t>amily</w:t>
            </w:r>
          </w:p>
          <w:p w14:paraId="47EB5688"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rsidRPr="008450A6">
              <w:t>Workstati</w:t>
            </w:r>
            <w:r>
              <w:t>on 4: Violence and e</w:t>
            </w:r>
            <w:r w:rsidRPr="008450A6">
              <w:t>xtremism</w:t>
            </w:r>
          </w:p>
          <w:p w14:paraId="2A63854F"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t>Workstation 5: Legal p</w:t>
            </w:r>
            <w:r w:rsidRPr="008450A6">
              <w:t>rotection</w:t>
            </w:r>
          </w:p>
          <w:p w14:paraId="46FE02BD"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t>Workstation 6: Legal o</w:t>
            </w:r>
            <w:r w:rsidRPr="008450A6">
              <w:t>ppression</w:t>
            </w:r>
          </w:p>
          <w:p w14:paraId="19BBDABD" w14:textId="77777777"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rsidRPr="008450A6">
              <w:t xml:space="preserve">Workstation 7: Engagement with </w:t>
            </w:r>
            <w:r>
              <w:t>international human rights m</w:t>
            </w:r>
            <w:r w:rsidRPr="008450A6">
              <w:t>echanisms</w:t>
            </w:r>
          </w:p>
          <w:p w14:paraId="036741CB" w14:textId="56C3427A" w:rsidR="00EA34DD" w:rsidRPr="008450A6" w:rsidRDefault="00EA34DD" w:rsidP="00EA34DD">
            <w:pPr>
              <w:pStyle w:val="TableBullet"/>
              <w:cnfStyle w:val="000000100000" w:firstRow="0" w:lastRow="0" w:firstColumn="0" w:lastColumn="0" w:oddVBand="0" w:evenVBand="0" w:oddHBand="1" w:evenHBand="0" w:firstRowFirstColumn="0" w:firstRowLastColumn="0" w:lastRowFirstColumn="0" w:lastRowLastColumn="0"/>
            </w:pPr>
            <w:r>
              <w:t>Workstation 8: Sustainable development g</w:t>
            </w:r>
            <w:r w:rsidRPr="008450A6">
              <w:t>oals</w:t>
            </w:r>
          </w:p>
        </w:tc>
      </w:tr>
      <w:tr w:rsidR="00D26357" w:rsidRPr="008450A6" w14:paraId="2E73EB61" w14:textId="77777777" w:rsidTr="00D26357">
        <w:trPr>
          <w:trHeight w:val="25"/>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57C604E9" w14:textId="3019A8D4" w:rsidR="00D26357" w:rsidRPr="00890675" w:rsidRDefault="00D26357" w:rsidP="008450A6">
            <w:pPr>
              <w:pStyle w:val="TableText"/>
              <w:rPr>
                <w:rFonts w:cs="Arial"/>
                <w:b w:val="0"/>
                <w:i/>
                <w:iCs/>
                <w:szCs w:val="20"/>
              </w:rPr>
            </w:pPr>
            <w:r w:rsidRPr="00890675">
              <w:rPr>
                <w:rFonts w:cs="Arial"/>
                <w:b w:val="0"/>
                <w:szCs w:val="20"/>
              </w:rPr>
              <w:t>11:30 – 12:00</w:t>
            </w:r>
          </w:p>
        </w:tc>
        <w:tc>
          <w:tcPr>
            <w:tcW w:w="7175" w:type="dxa"/>
            <w:tcBorders>
              <w:left w:val="nil"/>
            </w:tcBorders>
            <w:shd w:val="clear" w:color="auto" w:fill="auto"/>
          </w:tcPr>
          <w:p w14:paraId="62B7563A" w14:textId="7EB53E32" w:rsidR="00D26357" w:rsidRPr="008450A6" w:rsidRDefault="00D26357" w:rsidP="00D26357">
            <w:pPr>
              <w:pStyle w:val="TableText"/>
              <w:cnfStyle w:val="000000000000" w:firstRow="0" w:lastRow="0" w:firstColumn="0" w:lastColumn="0" w:oddVBand="0" w:evenVBand="0" w:oddHBand="0" w:evenHBand="0" w:firstRowFirstColumn="0" w:firstRowLastColumn="0" w:lastRowFirstColumn="0" w:lastRowLastColumn="0"/>
              <w:rPr>
                <w:rFonts w:cs="Arial"/>
                <w:i/>
                <w:iCs/>
                <w:szCs w:val="20"/>
              </w:rPr>
            </w:pPr>
            <w:r w:rsidRPr="008450A6">
              <w:rPr>
                <w:rFonts w:cs="Arial"/>
                <w:szCs w:val="20"/>
              </w:rPr>
              <w:t>Rapporteur report-back</w:t>
            </w:r>
          </w:p>
        </w:tc>
      </w:tr>
      <w:tr w:rsidR="0075434A" w:rsidRPr="008450A6" w14:paraId="230B2908" w14:textId="77777777" w:rsidTr="00B8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9D9D9" w:themeFill="background1" w:themeFillShade="D9"/>
          </w:tcPr>
          <w:p w14:paraId="2A43B9C1" w14:textId="3718370B" w:rsidR="0075434A" w:rsidRPr="00890675" w:rsidRDefault="0075434A" w:rsidP="008450A6">
            <w:pPr>
              <w:pStyle w:val="TableText"/>
              <w:rPr>
                <w:rFonts w:cs="Arial"/>
                <w:b w:val="0"/>
                <w:szCs w:val="20"/>
              </w:rPr>
            </w:pPr>
            <w:r w:rsidRPr="00890675">
              <w:rPr>
                <w:rFonts w:cs="Arial"/>
                <w:b w:val="0"/>
                <w:szCs w:val="20"/>
              </w:rPr>
              <w:lastRenderedPageBreak/>
              <w:t>12:00 – 13:30</w:t>
            </w:r>
          </w:p>
        </w:tc>
        <w:tc>
          <w:tcPr>
            <w:tcW w:w="7175" w:type="dxa"/>
            <w:tcBorders>
              <w:left w:val="nil"/>
            </w:tcBorders>
            <w:shd w:val="clear" w:color="auto" w:fill="D9D9D9" w:themeFill="background1" w:themeFillShade="D9"/>
          </w:tcPr>
          <w:p w14:paraId="6112A32F" w14:textId="5E85D190" w:rsidR="0075434A" w:rsidRPr="008450A6" w:rsidRDefault="00291770" w:rsidP="008450A6">
            <w:pPr>
              <w:pStyle w:val="TableTex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Lunch</w:t>
            </w:r>
          </w:p>
        </w:tc>
      </w:tr>
      <w:tr w:rsidR="0075434A" w:rsidRPr="008450A6" w14:paraId="55A27B82" w14:textId="77777777" w:rsidTr="00CC78EA">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39411170" w14:textId="416ABB1B" w:rsidR="0075434A" w:rsidRPr="00890675" w:rsidRDefault="0075434A" w:rsidP="008450A6">
            <w:pPr>
              <w:pStyle w:val="TableText"/>
              <w:rPr>
                <w:rFonts w:cs="Arial"/>
                <w:b w:val="0"/>
                <w:szCs w:val="20"/>
              </w:rPr>
            </w:pPr>
            <w:r w:rsidRPr="00890675">
              <w:rPr>
                <w:rFonts w:cs="Arial"/>
                <w:b w:val="0"/>
                <w:szCs w:val="20"/>
              </w:rPr>
              <w:t>12:00 – 13:00</w:t>
            </w:r>
          </w:p>
        </w:tc>
        <w:tc>
          <w:tcPr>
            <w:tcW w:w="7175" w:type="dxa"/>
            <w:tcBorders>
              <w:left w:val="nil"/>
            </w:tcBorders>
            <w:shd w:val="clear" w:color="auto" w:fill="DBE5F1" w:themeFill="accent1" w:themeFillTint="33"/>
          </w:tcPr>
          <w:p w14:paraId="06B129EF" w14:textId="3698C9B6" w:rsidR="0075434A" w:rsidRPr="00D224F3" w:rsidRDefault="0075434A" w:rsidP="008450A6">
            <w:pPr>
              <w:pStyle w:val="TableText"/>
              <w:cnfStyle w:val="000000000000" w:firstRow="0" w:lastRow="0" w:firstColumn="0" w:lastColumn="0" w:oddVBand="0" w:evenVBand="0" w:oddHBand="0" w:evenHBand="0" w:firstRowFirstColumn="0" w:firstRowLastColumn="0" w:lastRowFirstColumn="0" w:lastRowLastColumn="0"/>
              <w:rPr>
                <w:rFonts w:cs="Arial"/>
                <w:b/>
                <w:szCs w:val="20"/>
              </w:rPr>
            </w:pPr>
            <w:r w:rsidRPr="00D224F3">
              <w:rPr>
                <w:rFonts w:cs="Arial"/>
                <w:b/>
                <w:szCs w:val="20"/>
              </w:rPr>
              <w:t>PRESS CONFERENCE – INVITATION ONLY</w:t>
            </w:r>
          </w:p>
        </w:tc>
      </w:tr>
      <w:tr w:rsidR="0075434A" w:rsidRPr="008450A6" w14:paraId="6E7838C2" w14:textId="77777777" w:rsidTr="00B8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386096C3" w14:textId="5C3EF245" w:rsidR="0075434A" w:rsidRPr="00DF5C13" w:rsidRDefault="0075434A" w:rsidP="008450A6">
            <w:pPr>
              <w:pStyle w:val="TableText"/>
              <w:rPr>
                <w:rFonts w:cs="Arial"/>
                <w:b w:val="0"/>
                <w:szCs w:val="20"/>
              </w:rPr>
            </w:pPr>
            <w:proofErr w:type="spellStart"/>
            <w:r w:rsidRPr="00DF5C13">
              <w:rPr>
                <w:rFonts w:cs="Arial"/>
                <w:b w:val="0"/>
                <w:iCs/>
                <w:szCs w:val="20"/>
              </w:rPr>
              <w:t>Sathorn</w:t>
            </w:r>
            <w:proofErr w:type="spellEnd"/>
            <w:r w:rsidRPr="00DF5C13">
              <w:rPr>
                <w:rFonts w:cs="Arial"/>
                <w:b w:val="0"/>
                <w:iCs/>
                <w:szCs w:val="20"/>
              </w:rPr>
              <w:t xml:space="preserve"> 1 &amp; 2</w:t>
            </w:r>
          </w:p>
        </w:tc>
        <w:tc>
          <w:tcPr>
            <w:tcW w:w="7175" w:type="dxa"/>
            <w:tcBorders>
              <w:left w:val="nil"/>
            </w:tcBorders>
            <w:shd w:val="clear" w:color="auto" w:fill="auto"/>
          </w:tcPr>
          <w:p w14:paraId="3516B03A" w14:textId="6F0E2763" w:rsidR="0075434A" w:rsidRDefault="0075434A" w:rsidP="00E5794B">
            <w:pPr>
              <w:pStyle w:val="TableText"/>
              <w:spacing w:after="120"/>
              <w:cnfStyle w:val="000000100000" w:firstRow="0" w:lastRow="0" w:firstColumn="0" w:lastColumn="0" w:oddVBand="0" w:evenVBand="0" w:oddHBand="1" w:evenHBand="0" w:firstRowFirstColumn="0" w:firstRowLastColumn="0" w:lastRowFirstColumn="0" w:lastRowLastColumn="0"/>
              <w:rPr>
                <w:rFonts w:cs="Arial"/>
                <w:szCs w:val="20"/>
              </w:rPr>
            </w:pPr>
            <w:r w:rsidRPr="00303F78">
              <w:rPr>
                <w:rFonts w:cs="Arial"/>
                <w:b/>
                <w:iCs/>
                <w:szCs w:val="20"/>
              </w:rPr>
              <w:t>Co-moderators</w:t>
            </w:r>
            <w:r w:rsidR="00303F78" w:rsidRPr="00303F78">
              <w:rPr>
                <w:rFonts w:cs="Arial"/>
                <w:b/>
                <w:iCs/>
                <w:szCs w:val="20"/>
              </w:rPr>
              <w:br/>
            </w:r>
            <w:r w:rsidRPr="008450A6">
              <w:rPr>
                <w:rFonts w:cs="Arial"/>
                <w:szCs w:val="20"/>
              </w:rPr>
              <w:t>Edmund Settle, Policy Advisor, UNDP Bangkok Regional Hub and</w:t>
            </w:r>
            <w:r w:rsidR="00303F78">
              <w:rPr>
                <w:rFonts w:cs="Arial"/>
                <w:szCs w:val="20"/>
              </w:rPr>
              <w:br/>
            </w:r>
            <w:r w:rsidRPr="008450A6">
              <w:rPr>
                <w:rFonts w:cs="Arial"/>
                <w:szCs w:val="20"/>
              </w:rPr>
              <w:t>Pip Dargan,</w:t>
            </w:r>
            <w:r w:rsidRPr="008450A6">
              <w:rPr>
                <w:rFonts w:cs="Arial"/>
                <w:i/>
                <w:iCs/>
                <w:szCs w:val="20"/>
              </w:rPr>
              <w:t xml:space="preserve"> </w:t>
            </w:r>
            <w:r w:rsidRPr="008450A6">
              <w:rPr>
                <w:rFonts w:cs="Arial"/>
                <w:szCs w:val="20"/>
              </w:rPr>
              <w:t>Deputy Director, Asia Pacific Forum of National Human Rights Institutions</w:t>
            </w:r>
          </w:p>
          <w:p w14:paraId="185F9F6C" w14:textId="27739FA5" w:rsidR="00B86071" w:rsidRPr="00B86071" w:rsidRDefault="00B86071" w:rsidP="00B86071">
            <w:pPr>
              <w:pStyle w:val="TableText"/>
              <w:spacing w:after="0"/>
              <w:cnfStyle w:val="000000100000" w:firstRow="0" w:lastRow="0" w:firstColumn="0" w:lastColumn="0" w:oddVBand="0" w:evenVBand="0" w:oddHBand="1" w:evenHBand="0" w:firstRowFirstColumn="0" w:firstRowLastColumn="0" w:lastRowFirstColumn="0" w:lastRowLastColumn="0"/>
              <w:rPr>
                <w:rFonts w:cs="Arial"/>
                <w:b/>
                <w:szCs w:val="20"/>
              </w:rPr>
            </w:pPr>
            <w:r w:rsidRPr="00B86071">
              <w:rPr>
                <w:rFonts w:cs="Arial"/>
                <w:b/>
                <w:szCs w:val="20"/>
              </w:rPr>
              <w:t>Panel</w:t>
            </w:r>
          </w:p>
          <w:p w14:paraId="42737FB4"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proofErr w:type="spellStart"/>
            <w:r w:rsidRPr="008450A6">
              <w:t>Vitit</w:t>
            </w:r>
            <w:proofErr w:type="spellEnd"/>
            <w:r w:rsidRPr="008450A6">
              <w:t xml:space="preserve"> </w:t>
            </w:r>
            <w:proofErr w:type="spellStart"/>
            <w:r w:rsidRPr="008450A6">
              <w:t>Muntarbhorn</w:t>
            </w:r>
            <w:proofErr w:type="spellEnd"/>
            <w:r w:rsidRPr="008450A6">
              <w:t>, UN Independent Expert on Sexual Orientation and Gender Identity</w:t>
            </w:r>
            <w:bookmarkStart w:id="96" w:name="_GoBack"/>
            <w:bookmarkEnd w:id="96"/>
          </w:p>
          <w:p w14:paraId="16AF8BD2"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Sonia Onufer Corrêa, Co-chair of Sexuality Policy Watch</w:t>
            </w:r>
          </w:p>
          <w:p w14:paraId="28E53D8A"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Karen Gomez-</w:t>
            </w:r>
            <w:proofErr w:type="spellStart"/>
            <w:r w:rsidRPr="008450A6">
              <w:t>Dumpit</w:t>
            </w:r>
            <w:proofErr w:type="spellEnd"/>
            <w:r w:rsidRPr="008450A6">
              <w:t>, Commissioner, Commission on Human Rights of the Philippines</w:t>
            </w:r>
          </w:p>
          <w:p w14:paraId="493462E2"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 xml:space="preserve">Manisha </w:t>
            </w:r>
            <w:proofErr w:type="spellStart"/>
            <w:r w:rsidRPr="008450A6">
              <w:t>Dhakal</w:t>
            </w:r>
            <w:proofErr w:type="spellEnd"/>
            <w:r w:rsidRPr="008450A6">
              <w:t>, Executive Director, Blue Diamond Society</w:t>
            </w:r>
          </w:p>
          <w:p w14:paraId="319CFBE4" w14:textId="5D9BD28B"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Honourable Michael Kirby AC, CMG, Former Justice of the High Court of Australia</w:t>
            </w:r>
          </w:p>
        </w:tc>
      </w:tr>
      <w:tr w:rsidR="0075434A" w:rsidRPr="008450A6" w14:paraId="33978419" w14:textId="77777777" w:rsidTr="00CC78EA">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BE5F1" w:themeFill="accent1" w:themeFillTint="33"/>
          </w:tcPr>
          <w:p w14:paraId="7EA37DD9" w14:textId="3DE8F3B1" w:rsidR="0075434A" w:rsidRPr="00890675" w:rsidRDefault="0075434A" w:rsidP="008450A6">
            <w:pPr>
              <w:pStyle w:val="TableText"/>
              <w:rPr>
                <w:rFonts w:cs="Arial"/>
                <w:b w:val="0"/>
                <w:szCs w:val="20"/>
              </w:rPr>
            </w:pPr>
            <w:r w:rsidRPr="00890675">
              <w:rPr>
                <w:rFonts w:cs="Arial"/>
                <w:b w:val="0"/>
                <w:szCs w:val="20"/>
              </w:rPr>
              <w:t>13:30 – 15:00</w:t>
            </w:r>
          </w:p>
        </w:tc>
        <w:tc>
          <w:tcPr>
            <w:tcW w:w="7175" w:type="dxa"/>
            <w:tcBorders>
              <w:left w:val="nil"/>
            </w:tcBorders>
            <w:shd w:val="clear" w:color="auto" w:fill="DBE5F1" w:themeFill="accent1" w:themeFillTint="33"/>
          </w:tcPr>
          <w:p w14:paraId="1F665354" w14:textId="2CD994EF" w:rsidR="0075434A" w:rsidRPr="00D224F3" w:rsidRDefault="0075434A" w:rsidP="008450A6">
            <w:pPr>
              <w:pStyle w:val="TableText"/>
              <w:cnfStyle w:val="000000000000" w:firstRow="0" w:lastRow="0" w:firstColumn="0" w:lastColumn="0" w:oddVBand="0" w:evenVBand="0" w:oddHBand="0" w:evenHBand="0" w:firstRowFirstColumn="0" w:firstRowLastColumn="0" w:lastRowFirstColumn="0" w:lastRowLastColumn="0"/>
              <w:rPr>
                <w:rFonts w:cs="Arial"/>
                <w:b/>
                <w:szCs w:val="20"/>
              </w:rPr>
            </w:pPr>
            <w:r w:rsidRPr="00D224F3">
              <w:rPr>
                <w:rFonts w:cs="Arial"/>
                <w:b/>
                <w:szCs w:val="20"/>
              </w:rPr>
              <w:t>CLOSING ADDRESS AND REMARKS</w:t>
            </w:r>
          </w:p>
        </w:tc>
      </w:tr>
      <w:tr w:rsidR="0075434A" w:rsidRPr="008450A6" w14:paraId="2D372F29" w14:textId="77777777" w:rsidTr="00B8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auto"/>
          </w:tcPr>
          <w:p w14:paraId="56B390F7" w14:textId="77777777" w:rsidR="0075434A" w:rsidRPr="00890675" w:rsidRDefault="0075434A" w:rsidP="008450A6">
            <w:pPr>
              <w:pStyle w:val="TableText"/>
              <w:rPr>
                <w:rFonts w:cs="Arial"/>
                <w:b w:val="0"/>
                <w:i/>
                <w:iCs/>
                <w:szCs w:val="20"/>
              </w:rPr>
            </w:pPr>
          </w:p>
        </w:tc>
        <w:tc>
          <w:tcPr>
            <w:tcW w:w="7175" w:type="dxa"/>
            <w:tcBorders>
              <w:left w:val="nil"/>
            </w:tcBorders>
            <w:shd w:val="clear" w:color="auto" w:fill="auto"/>
          </w:tcPr>
          <w:p w14:paraId="41CD446C" w14:textId="703B729E" w:rsidR="0075434A" w:rsidRPr="008450A6" w:rsidRDefault="0075434A" w:rsidP="00E5794B">
            <w:pPr>
              <w:pStyle w:val="TableText"/>
              <w:spacing w:after="120"/>
              <w:cnfStyle w:val="000000100000" w:firstRow="0" w:lastRow="0" w:firstColumn="0" w:lastColumn="0" w:oddVBand="0" w:evenVBand="0" w:oddHBand="1" w:evenHBand="0" w:firstRowFirstColumn="0" w:firstRowLastColumn="0" w:lastRowFirstColumn="0" w:lastRowLastColumn="0"/>
              <w:rPr>
                <w:rFonts w:cs="Arial"/>
                <w:szCs w:val="20"/>
              </w:rPr>
            </w:pPr>
            <w:r w:rsidRPr="00E5794B">
              <w:rPr>
                <w:rFonts w:cs="Arial"/>
                <w:b/>
                <w:iCs/>
                <w:szCs w:val="20"/>
              </w:rPr>
              <w:t>Moderator</w:t>
            </w:r>
            <w:r w:rsidR="00E5794B" w:rsidRPr="00E5794B">
              <w:rPr>
                <w:rFonts w:cs="Arial"/>
                <w:b/>
                <w:iCs/>
                <w:szCs w:val="20"/>
              </w:rPr>
              <w:br/>
            </w:r>
            <w:r w:rsidRPr="008450A6">
              <w:rPr>
                <w:rFonts w:cs="Arial"/>
                <w:szCs w:val="20"/>
              </w:rPr>
              <w:t>Pip Dargan, Deputy Director, Asia Pacific Forum of National Human Rights</w:t>
            </w:r>
            <w:r w:rsidRPr="008450A6">
              <w:rPr>
                <w:rFonts w:cs="Arial"/>
                <w:i/>
                <w:iCs/>
                <w:szCs w:val="20"/>
              </w:rPr>
              <w:t xml:space="preserve"> </w:t>
            </w:r>
            <w:r w:rsidRPr="008450A6">
              <w:rPr>
                <w:rFonts w:cs="Arial"/>
                <w:szCs w:val="20"/>
              </w:rPr>
              <w:t>Institutions</w:t>
            </w:r>
          </w:p>
          <w:p w14:paraId="36644729" w14:textId="3D02BC17" w:rsidR="0075434A" w:rsidRPr="00E5794B" w:rsidRDefault="00E5794B" w:rsidP="008450A6">
            <w:pPr>
              <w:pStyle w:val="TableText"/>
              <w:cnfStyle w:val="000000100000" w:firstRow="0" w:lastRow="0" w:firstColumn="0" w:lastColumn="0" w:oddVBand="0" w:evenVBand="0" w:oddHBand="1" w:evenHBand="0" w:firstRowFirstColumn="0" w:firstRowLastColumn="0" w:lastRowFirstColumn="0" w:lastRowLastColumn="0"/>
              <w:rPr>
                <w:rFonts w:cs="Arial"/>
                <w:i/>
                <w:szCs w:val="20"/>
              </w:rPr>
            </w:pPr>
            <w:r w:rsidRPr="00E5794B">
              <w:rPr>
                <w:rFonts w:cs="Arial"/>
                <w:b/>
                <w:iCs/>
                <w:szCs w:val="20"/>
              </w:rPr>
              <w:t>Keynote closing a</w:t>
            </w:r>
            <w:r w:rsidR="0075434A" w:rsidRPr="00E5794B">
              <w:rPr>
                <w:rFonts w:cs="Arial"/>
                <w:b/>
                <w:iCs/>
                <w:szCs w:val="20"/>
              </w:rPr>
              <w:t>ddress</w:t>
            </w:r>
            <w:r w:rsidRPr="00E5794B">
              <w:rPr>
                <w:rFonts w:cs="Arial"/>
                <w:b/>
                <w:iCs/>
                <w:szCs w:val="20"/>
              </w:rPr>
              <w:br/>
            </w:r>
            <w:r w:rsidR="0075434A" w:rsidRPr="008450A6">
              <w:rPr>
                <w:rFonts w:cs="Arial"/>
                <w:szCs w:val="20"/>
              </w:rPr>
              <w:t>Sonia Onufer Corrêa,</w:t>
            </w:r>
            <w:r w:rsidR="0075434A" w:rsidRPr="008450A6">
              <w:rPr>
                <w:rFonts w:cs="Arial"/>
                <w:i/>
                <w:iCs/>
                <w:szCs w:val="20"/>
              </w:rPr>
              <w:t xml:space="preserve"> </w:t>
            </w:r>
            <w:r w:rsidR="0075434A" w:rsidRPr="008450A6">
              <w:rPr>
                <w:rFonts w:cs="Arial"/>
                <w:szCs w:val="20"/>
              </w:rPr>
              <w:t>Co-chair of Sexuality Policy Watch</w:t>
            </w:r>
            <w:r>
              <w:rPr>
                <w:rFonts w:cs="Arial"/>
                <w:szCs w:val="20"/>
              </w:rPr>
              <w:br/>
            </w:r>
            <w:r w:rsidR="0075434A" w:rsidRPr="00E5794B">
              <w:rPr>
                <w:rFonts w:cs="Arial"/>
                <w:i/>
                <w:szCs w:val="20"/>
              </w:rPr>
              <w:t>Reflecting on the challenges and “Where to now?”</w:t>
            </w:r>
          </w:p>
          <w:p w14:paraId="1F64E76B" w14:textId="27DCC952" w:rsidR="0075434A" w:rsidRPr="00E5794B" w:rsidRDefault="0075434A" w:rsidP="00E5794B">
            <w:pPr>
              <w:pStyle w:val="TableText"/>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E5794B">
              <w:rPr>
                <w:rFonts w:cs="Arial"/>
                <w:b/>
                <w:iCs/>
                <w:szCs w:val="20"/>
              </w:rPr>
              <w:t>Closing reflections</w:t>
            </w:r>
          </w:p>
          <w:p w14:paraId="7D0EAB17"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rPr>
                <w:rFonts w:eastAsia="Symbol"/>
              </w:rPr>
              <w:t>Luc Stevens, UN Resident Coordinator &amp; UNDP Resident Representative</w:t>
            </w:r>
          </w:p>
          <w:p w14:paraId="36C68C8A"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Midnight Poonkasetwattana, Executive Director, APCOM</w:t>
            </w:r>
          </w:p>
          <w:p w14:paraId="7A0A5548"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Nadika Nadja, Working Group Member, Sampoorna</w:t>
            </w:r>
          </w:p>
          <w:p w14:paraId="7976B279" w14:textId="77777777" w:rsidR="0075434A" w:rsidRPr="008450A6" w:rsidRDefault="0075434A" w:rsidP="00E5794B">
            <w:pPr>
              <w:pStyle w:val="TableBullet"/>
              <w:cnfStyle w:val="000000100000" w:firstRow="0" w:lastRow="0" w:firstColumn="0" w:lastColumn="0" w:oddVBand="0" w:evenVBand="0" w:oddHBand="1" w:evenHBand="0" w:firstRowFirstColumn="0" w:firstRowLastColumn="0" w:lastRowFirstColumn="0" w:lastRowLastColumn="0"/>
              <w:rPr>
                <w:rFonts w:eastAsia="Symbol"/>
              </w:rPr>
            </w:pPr>
            <w:r w:rsidRPr="008450A6">
              <w:t>Hiker Chiu, Founder, OII Chinese</w:t>
            </w:r>
          </w:p>
          <w:p w14:paraId="0E13EB51" w14:textId="3233612D" w:rsidR="0075434A" w:rsidRPr="00E5794B" w:rsidRDefault="0075434A" w:rsidP="00E5794B">
            <w:pPr>
              <w:pStyle w:val="TableText"/>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E5794B">
              <w:rPr>
                <w:rFonts w:cs="Arial"/>
                <w:b/>
                <w:iCs/>
                <w:szCs w:val="20"/>
              </w:rPr>
              <w:t>Final reflections/remarks from UNDP and APF</w:t>
            </w:r>
          </w:p>
        </w:tc>
      </w:tr>
      <w:tr w:rsidR="0075434A" w:rsidRPr="008450A6" w14:paraId="1B1CFA5C" w14:textId="77777777" w:rsidTr="00B8309C">
        <w:tc>
          <w:tcPr>
            <w:cnfStyle w:val="001000000000" w:firstRow="0" w:lastRow="0" w:firstColumn="1" w:lastColumn="0" w:oddVBand="0" w:evenVBand="0" w:oddHBand="0" w:evenHBand="0" w:firstRowFirstColumn="0" w:firstRowLastColumn="0" w:lastRowFirstColumn="0" w:lastRowLastColumn="0"/>
            <w:tcW w:w="1897" w:type="dxa"/>
            <w:tcBorders>
              <w:right w:val="nil"/>
            </w:tcBorders>
            <w:shd w:val="clear" w:color="auto" w:fill="D9D9D9" w:themeFill="background1" w:themeFillShade="D9"/>
          </w:tcPr>
          <w:p w14:paraId="0E913017" w14:textId="7823D8B5" w:rsidR="0075434A" w:rsidRPr="00890675" w:rsidRDefault="0075434A" w:rsidP="008450A6">
            <w:pPr>
              <w:pStyle w:val="TableText"/>
              <w:rPr>
                <w:rFonts w:cs="Arial"/>
                <w:b w:val="0"/>
                <w:szCs w:val="20"/>
              </w:rPr>
            </w:pPr>
            <w:r w:rsidRPr="00890675">
              <w:rPr>
                <w:rFonts w:cs="Arial"/>
                <w:b w:val="0"/>
                <w:szCs w:val="20"/>
              </w:rPr>
              <w:t>15:00</w:t>
            </w:r>
          </w:p>
        </w:tc>
        <w:tc>
          <w:tcPr>
            <w:tcW w:w="7175" w:type="dxa"/>
            <w:tcBorders>
              <w:left w:val="nil"/>
            </w:tcBorders>
            <w:shd w:val="clear" w:color="auto" w:fill="D9D9D9" w:themeFill="background1" w:themeFillShade="D9"/>
          </w:tcPr>
          <w:p w14:paraId="44EB8A14" w14:textId="06DEBAF8" w:rsidR="0075434A" w:rsidRPr="008450A6" w:rsidRDefault="00291770" w:rsidP="008450A6">
            <w:pPr>
              <w:pStyle w:val="TableTex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Close</w:t>
            </w:r>
          </w:p>
        </w:tc>
      </w:tr>
    </w:tbl>
    <w:p w14:paraId="5C18D07F" w14:textId="4BCA2B3F" w:rsidR="00062345" w:rsidRDefault="00062345" w:rsidP="00062345">
      <w:bookmarkStart w:id="97" w:name="_Toc489441335"/>
    </w:p>
    <w:p w14:paraId="25E9F890" w14:textId="77777777" w:rsidR="00062345" w:rsidRDefault="00062345">
      <w:pPr>
        <w:spacing w:before="0" w:after="0"/>
      </w:pPr>
      <w:r>
        <w:br w:type="page"/>
      </w:r>
    </w:p>
    <w:p w14:paraId="41BD4DC6" w14:textId="5411ADAD" w:rsidR="0075434A" w:rsidRPr="00B068A2" w:rsidRDefault="00062345" w:rsidP="00062345">
      <w:pPr>
        <w:pStyle w:val="Heading1"/>
      </w:pPr>
      <w:bookmarkStart w:id="98" w:name="_Toc491332791"/>
      <w:r>
        <w:lastRenderedPageBreak/>
        <w:t>Appendix</w:t>
      </w:r>
      <w:r w:rsidR="0075434A" w:rsidRPr="00B068A2">
        <w:t xml:space="preserve"> 2: </w:t>
      </w:r>
      <w:r>
        <w:t>Participants (o</w:t>
      </w:r>
      <w:r w:rsidR="0075434A">
        <w:t>rganisations)</w:t>
      </w:r>
      <w:bookmarkEnd w:id="97"/>
      <w:bookmarkEnd w:id="98"/>
    </w:p>
    <w:p w14:paraId="37A57245" w14:textId="4B17A967" w:rsidR="00E8108E" w:rsidRDefault="00D536E5" w:rsidP="00D536E5">
      <w:pPr>
        <w:pStyle w:val="Heading4"/>
      </w:pPr>
      <w:bookmarkStart w:id="99" w:name="_Toc489441336"/>
      <w:r>
        <w:t xml:space="preserve">National Human Rights Institutions </w:t>
      </w:r>
      <w:r w:rsidRPr="00E41056">
        <w:t>– APF members</w:t>
      </w:r>
    </w:p>
    <w:p w14:paraId="52B03599" w14:textId="77777777" w:rsidR="00D536E5" w:rsidRPr="00E41056" w:rsidRDefault="00D536E5" w:rsidP="00D536E5">
      <w:pPr>
        <w:pStyle w:val="NormalNoSpace"/>
      </w:pPr>
      <w:r w:rsidRPr="00E41056">
        <w:t>Afghanistan Independent Human Rights Commission</w:t>
      </w:r>
    </w:p>
    <w:p w14:paraId="4D050D97" w14:textId="77777777" w:rsidR="00D536E5" w:rsidRPr="00E41056" w:rsidRDefault="00D536E5" w:rsidP="00D536E5">
      <w:pPr>
        <w:pStyle w:val="NormalNoSpace"/>
      </w:pPr>
      <w:r w:rsidRPr="00E41056">
        <w:t>Australian Human Rights Commission</w:t>
      </w:r>
    </w:p>
    <w:p w14:paraId="55E73FFB" w14:textId="77777777" w:rsidR="00D536E5" w:rsidRPr="00E41056" w:rsidRDefault="00D536E5" w:rsidP="00D536E5">
      <w:pPr>
        <w:pStyle w:val="NormalNoSpace"/>
      </w:pPr>
      <w:r w:rsidRPr="00E41056">
        <w:t>National Human Rights Commission of Bangladesh</w:t>
      </w:r>
    </w:p>
    <w:p w14:paraId="238E7021" w14:textId="77777777" w:rsidR="00D536E5" w:rsidRPr="00E41056" w:rsidRDefault="00D536E5" w:rsidP="00D536E5">
      <w:pPr>
        <w:pStyle w:val="NormalNoSpace"/>
      </w:pPr>
      <w:r w:rsidRPr="00E41056">
        <w:t>National Human Rights Commission of India</w:t>
      </w:r>
    </w:p>
    <w:p w14:paraId="2A7063B4" w14:textId="77777777" w:rsidR="00D536E5" w:rsidRPr="00E41056" w:rsidRDefault="00D536E5" w:rsidP="00D536E5">
      <w:pPr>
        <w:pStyle w:val="NormalNoSpace"/>
      </w:pPr>
      <w:r w:rsidRPr="00E41056">
        <w:t>Indonesian National Commission on Human Rights</w:t>
      </w:r>
    </w:p>
    <w:p w14:paraId="34ADAF55" w14:textId="77777777" w:rsidR="00D536E5" w:rsidRPr="00E41056" w:rsidRDefault="00D536E5" w:rsidP="00D536E5">
      <w:pPr>
        <w:pStyle w:val="NormalNoSpace"/>
      </w:pPr>
      <w:r w:rsidRPr="00E41056">
        <w:t>Jordan National Centre for Human Rights</w:t>
      </w:r>
    </w:p>
    <w:p w14:paraId="062C198A" w14:textId="77777777" w:rsidR="00D536E5" w:rsidRPr="00E41056" w:rsidRDefault="00D536E5" w:rsidP="00D536E5">
      <w:pPr>
        <w:pStyle w:val="NormalNoSpace"/>
      </w:pPr>
      <w:r w:rsidRPr="00E41056">
        <w:t>National Centre for Human Rights of Kazakhstan</w:t>
      </w:r>
    </w:p>
    <w:p w14:paraId="64DC6573" w14:textId="77777777" w:rsidR="00D536E5" w:rsidRPr="00E41056" w:rsidRDefault="00D536E5" w:rsidP="00D536E5">
      <w:pPr>
        <w:pStyle w:val="NormalNoSpace"/>
      </w:pPr>
      <w:r w:rsidRPr="00E41056">
        <w:t>National Human Rights Commission of Korea</w:t>
      </w:r>
    </w:p>
    <w:p w14:paraId="099F53C7" w14:textId="77777777" w:rsidR="00D536E5" w:rsidRPr="00E41056" w:rsidRDefault="00D536E5" w:rsidP="00D536E5">
      <w:pPr>
        <w:pStyle w:val="NormalNoSpace"/>
      </w:pPr>
      <w:r w:rsidRPr="00E41056">
        <w:t>Human Rights Commission of Malaysia</w:t>
      </w:r>
    </w:p>
    <w:p w14:paraId="405DA99F" w14:textId="77777777" w:rsidR="00D536E5" w:rsidRPr="00E41056" w:rsidRDefault="00D536E5" w:rsidP="00D536E5">
      <w:pPr>
        <w:pStyle w:val="NormalNoSpace"/>
      </w:pPr>
      <w:r w:rsidRPr="00E41056">
        <w:t>National Human Rights Commission of Mongolia</w:t>
      </w:r>
    </w:p>
    <w:p w14:paraId="644118AB" w14:textId="77777777" w:rsidR="00D536E5" w:rsidRPr="00E41056" w:rsidRDefault="00D536E5" w:rsidP="00D536E5">
      <w:pPr>
        <w:pStyle w:val="NormalNoSpace"/>
      </w:pPr>
      <w:r w:rsidRPr="00E41056">
        <w:t>Myanmar National Human Rights Commission</w:t>
      </w:r>
    </w:p>
    <w:p w14:paraId="305C4525" w14:textId="77777777" w:rsidR="00D536E5" w:rsidRPr="00E41056" w:rsidRDefault="00D536E5" w:rsidP="00D536E5">
      <w:pPr>
        <w:pStyle w:val="NormalNoSpace"/>
      </w:pPr>
      <w:r w:rsidRPr="00E41056">
        <w:t>National Human Rights Commission of Nepal</w:t>
      </w:r>
    </w:p>
    <w:p w14:paraId="5ED55AEE" w14:textId="77777777" w:rsidR="00D536E5" w:rsidRPr="00E41056" w:rsidRDefault="00D536E5" w:rsidP="00D536E5">
      <w:pPr>
        <w:pStyle w:val="NormalNoSpace"/>
      </w:pPr>
      <w:r w:rsidRPr="00E41056">
        <w:t>Commission on Human Rights of the Philippines</w:t>
      </w:r>
    </w:p>
    <w:p w14:paraId="3A0E4908" w14:textId="77777777" w:rsidR="00D536E5" w:rsidRPr="00E41056" w:rsidRDefault="00D536E5" w:rsidP="00D536E5">
      <w:pPr>
        <w:pStyle w:val="NormalNoSpace"/>
      </w:pPr>
      <w:r w:rsidRPr="00E41056">
        <w:t>Human Rights Commission of Sri Lanka</w:t>
      </w:r>
    </w:p>
    <w:p w14:paraId="51149950" w14:textId="77777777" w:rsidR="00D536E5" w:rsidRPr="00E41056" w:rsidRDefault="00D536E5" w:rsidP="00D536E5">
      <w:pPr>
        <w:pStyle w:val="NormalNoSpace"/>
      </w:pPr>
      <w:proofErr w:type="spellStart"/>
      <w:r w:rsidRPr="00E41056">
        <w:t>Provedor</w:t>
      </w:r>
      <w:proofErr w:type="spellEnd"/>
      <w:r w:rsidRPr="00E41056">
        <w:t xml:space="preserve"> for Human Rights and Justice Timor-Leste</w:t>
      </w:r>
    </w:p>
    <w:p w14:paraId="1E4A7100" w14:textId="77777777" w:rsidR="00D536E5" w:rsidRPr="00E41056" w:rsidRDefault="00D536E5" w:rsidP="00D536E5">
      <w:pPr>
        <w:pStyle w:val="NormalNoSpace"/>
      </w:pPr>
      <w:r w:rsidRPr="00E41056">
        <w:t>National Human Rights Commission of Thailand</w:t>
      </w:r>
    </w:p>
    <w:p w14:paraId="611D9DD3" w14:textId="649A9DCB" w:rsidR="00E8108E" w:rsidRDefault="00D536E5" w:rsidP="00D536E5">
      <w:pPr>
        <w:pStyle w:val="Heading4"/>
      </w:pPr>
      <w:r>
        <w:t xml:space="preserve">National Human Rights Institutions </w:t>
      </w:r>
      <w:r w:rsidR="007B2109">
        <w:t>– o</w:t>
      </w:r>
      <w:r w:rsidRPr="00E41056">
        <w:t>bservers</w:t>
      </w:r>
    </w:p>
    <w:p w14:paraId="27BF1D8E" w14:textId="77777777" w:rsidR="00D536E5" w:rsidRDefault="00D536E5" w:rsidP="00D536E5">
      <w:pPr>
        <w:pStyle w:val="NormalNoSpace"/>
      </w:pPr>
      <w:r w:rsidRPr="00E41056">
        <w:t>Fiji Human Rights and Anti-Discrimination Commission</w:t>
      </w:r>
    </w:p>
    <w:p w14:paraId="23F0110C" w14:textId="4BCAB00E" w:rsidR="00D536E5" w:rsidRDefault="00D536E5" w:rsidP="00D536E5">
      <w:pPr>
        <w:pStyle w:val="NormalNoSpace"/>
      </w:pPr>
      <w:r w:rsidRPr="00E41056">
        <w:t>Human Rights Commission of Pakistan</w:t>
      </w:r>
    </w:p>
    <w:p w14:paraId="33106083" w14:textId="69B6C6A8" w:rsidR="00D536E5" w:rsidRDefault="00D536E5" w:rsidP="00D536E5">
      <w:pPr>
        <w:pStyle w:val="Heading4"/>
      </w:pPr>
      <w:r>
        <w:t>Non-governmental and civil society organisations</w:t>
      </w:r>
    </w:p>
    <w:p w14:paraId="29E85370" w14:textId="77777777" w:rsidR="00D536E5" w:rsidRPr="00E41056" w:rsidRDefault="00D536E5" w:rsidP="00D536E5">
      <w:pPr>
        <w:pStyle w:val="NormalNoSpace"/>
      </w:pPr>
      <w:r w:rsidRPr="00E41056">
        <w:t>APCOM Foundation</w:t>
      </w:r>
    </w:p>
    <w:p w14:paraId="50D5B43F" w14:textId="77777777" w:rsidR="00D536E5" w:rsidRPr="00E41056" w:rsidRDefault="00D536E5" w:rsidP="00D536E5">
      <w:pPr>
        <w:pStyle w:val="NormalNoSpace"/>
      </w:pPr>
      <w:r w:rsidRPr="00E41056">
        <w:t>ARC International</w:t>
      </w:r>
    </w:p>
    <w:p w14:paraId="3170B672" w14:textId="77777777" w:rsidR="00D536E5" w:rsidRPr="00E41056" w:rsidRDefault="00D536E5" w:rsidP="00D536E5">
      <w:pPr>
        <w:pStyle w:val="NormalNoSpace"/>
      </w:pPr>
      <w:r w:rsidRPr="00E41056">
        <w:t>ASEAN SOGIE Caucus</w:t>
      </w:r>
      <w:r>
        <w:t xml:space="preserve"> </w:t>
      </w:r>
    </w:p>
    <w:p w14:paraId="4C13F9EC" w14:textId="77777777" w:rsidR="00D536E5" w:rsidRPr="00E41056" w:rsidRDefault="00D536E5" w:rsidP="00D536E5">
      <w:pPr>
        <w:pStyle w:val="NormalNoSpace"/>
      </w:pPr>
      <w:r w:rsidRPr="00E41056">
        <w:t xml:space="preserve">Asia Pacific Transgender Network </w:t>
      </w:r>
    </w:p>
    <w:p w14:paraId="3567A9A7" w14:textId="77777777" w:rsidR="00D536E5" w:rsidRPr="00E41056" w:rsidRDefault="00D536E5" w:rsidP="00D536E5">
      <w:pPr>
        <w:pStyle w:val="NormalNoSpace"/>
      </w:pPr>
      <w:proofErr w:type="spellStart"/>
      <w:r w:rsidRPr="00E41056">
        <w:t>Bandhu</w:t>
      </w:r>
      <w:proofErr w:type="spellEnd"/>
      <w:r w:rsidRPr="00E41056">
        <w:t xml:space="preserve"> Social Welfare Society</w:t>
      </w:r>
    </w:p>
    <w:p w14:paraId="64E43A1E" w14:textId="77777777" w:rsidR="00D536E5" w:rsidRPr="00E41056" w:rsidRDefault="00D536E5" w:rsidP="00D536E5">
      <w:pPr>
        <w:pStyle w:val="NormalNoSpace"/>
      </w:pPr>
      <w:r w:rsidRPr="00E41056">
        <w:t>Blue Diamond Society</w:t>
      </w:r>
    </w:p>
    <w:p w14:paraId="2296718F" w14:textId="77777777" w:rsidR="00D536E5" w:rsidRPr="00E41056" w:rsidRDefault="00D536E5" w:rsidP="00D536E5">
      <w:pPr>
        <w:pStyle w:val="NormalNoSpace"/>
      </w:pPr>
      <w:proofErr w:type="spellStart"/>
      <w:r w:rsidRPr="00E41056">
        <w:t>Buku</w:t>
      </w:r>
      <w:proofErr w:type="spellEnd"/>
      <w:r w:rsidRPr="00E41056">
        <w:t xml:space="preserve"> Books</w:t>
      </w:r>
    </w:p>
    <w:p w14:paraId="008F3A91" w14:textId="77777777" w:rsidR="00D536E5" w:rsidRPr="00E41056" w:rsidRDefault="00D536E5" w:rsidP="00D536E5">
      <w:pPr>
        <w:pStyle w:val="NormalNoSpace"/>
      </w:pPr>
      <w:proofErr w:type="spellStart"/>
      <w:r w:rsidRPr="00E41056">
        <w:t>CamASEAN</w:t>
      </w:r>
      <w:proofErr w:type="spellEnd"/>
      <w:r w:rsidRPr="00E41056">
        <w:t xml:space="preserve"> Youth’s Future </w:t>
      </w:r>
    </w:p>
    <w:p w14:paraId="11C68852" w14:textId="77777777" w:rsidR="00D536E5" w:rsidRPr="00E41056" w:rsidRDefault="00D536E5" w:rsidP="00D536E5">
      <w:pPr>
        <w:pStyle w:val="NormalNoSpace"/>
      </w:pPr>
      <w:r w:rsidRPr="00E41056">
        <w:t>Common Language</w:t>
      </w:r>
    </w:p>
    <w:p w14:paraId="08687BC0" w14:textId="77777777" w:rsidR="00D536E5" w:rsidRPr="00E41056" w:rsidRDefault="00D536E5" w:rsidP="00D536E5">
      <w:pPr>
        <w:pStyle w:val="NormalNoSpace"/>
      </w:pPr>
      <w:r w:rsidRPr="00E41056">
        <w:t>Diverse Voices and Action for Equality Fiji</w:t>
      </w:r>
    </w:p>
    <w:p w14:paraId="2B601815" w14:textId="77777777" w:rsidR="00D536E5" w:rsidRPr="00E41056" w:rsidRDefault="00D536E5" w:rsidP="00D536E5">
      <w:pPr>
        <w:pStyle w:val="NormalNoSpace"/>
      </w:pPr>
      <w:r w:rsidRPr="00E41056">
        <w:t>Fortify Rights</w:t>
      </w:r>
    </w:p>
    <w:p w14:paraId="2088969D" w14:textId="77777777" w:rsidR="00D536E5" w:rsidRPr="00E41056" w:rsidRDefault="00D536E5" w:rsidP="00D536E5">
      <w:pPr>
        <w:pStyle w:val="NormalNoSpace"/>
      </w:pPr>
      <w:r w:rsidRPr="00E41056">
        <w:t xml:space="preserve">Forum for Dignity Initiatives </w:t>
      </w:r>
    </w:p>
    <w:p w14:paraId="3306D0FA" w14:textId="77777777" w:rsidR="00D536E5" w:rsidRPr="00E41056" w:rsidRDefault="00D536E5" w:rsidP="00D536E5">
      <w:pPr>
        <w:pStyle w:val="NormalNoSpace"/>
      </w:pPr>
      <w:proofErr w:type="spellStart"/>
      <w:r w:rsidRPr="00E41056">
        <w:t>GAYa</w:t>
      </w:r>
      <w:proofErr w:type="spellEnd"/>
      <w:r w:rsidRPr="00E41056">
        <w:t xml:space="preserve"> NUSANTARA</w:t>
      </w:r>
    </w:p>
    <w:p w14:paraId="278BD10A" w14:textId="77777777" w:rsidR="00D536E5" w:rsidRPr="00E41056" w:rsidRDefault="00D536E5" w:rsidP="00D536E5">
      <w:pPr>
        <w:pStyle w:val="NormalNoSpace"/>
      </w:pPr>
      <w:r w:rsidRPr="00E41056">
        <w:t>Global Action for Trans Equality</w:t>
      </w:r>
    </w:p>
    <w:p w14:paraId="39DF3008" w14:textId="77777777" w:rsidR="00D536E5" w:rsidRPr="00E41056" w:rsidRDefault="00D536E5" w:rsidP="00D536E5">
      <w:pPr>
        <w:pStyle w:val="NormalNoSpace"/>
      </w:pPr>
      <w:r w:rsidRPr="00E41056">
        <w:t>Global Forum on MSM and HIV</w:t>
      </w:r>
    </w:p>
    <w:p w14:paraId="4242785D" w14:textId="77777777" w:rsidR="00D536E5" w:rsidRPr="00E41056" w:rsidRDefault="00D536E5" w:rsidP="00D536E5">
      <w:pPr>
        <w:pStyle w:val="NormalNoSpace"/>
      </w:pPr>
      <w:r w:rsidRPr="00E41056">
        <w:t>Health, Education and Research Association (H.E.R.A)</w:t>
      </w:r>
    </w:p>
    <w:p w14:paraId="0B1054AA" w14:textId="77777777" w:rsidR="00D536E5" w:rsidRPr="00E41056" w:rsidRDefault="00D536E5" w:rsidP="00D536E5">
      <w:pPr>
        <w:pStyle w:val="NormalNoSpace"/>
      </w:pPr>
      <w:r w:rsidRPr="00E41056">
        <w:t xml:space="preserve">Human Rights Law </w:t>
      </w:r>
      <w:proofErr w:type="spellStart"/>
      <w:r w:rsidRPr="00E41056">
        <w:t>Center</w:t>
      </w:r>
      <w:proofErr w:type="spellEnd"/>
    </w:p>
    <w:p w14:paraId="0C8CBF2C" w14:textId="77777777" w:rsidR="00D536E5" w:rsidRPr="00E41056" w:rsidRDefault="00D536E5" w:rsidP="00D536E5">
      <w:pPr>
        <w:pStyle w:val="NormalNoSpace"/>
      </w:pPr>
      <w:r w:rsidRPr="00E41056">
        <w:t>Human Rights Watch</w:t>
      </w:r>
    </w:p>
    <w:p w14:paraId="0E8EC46B" w14:textId="77777777" w:rsidR="00D536E5" w:rsidRPr="00E41056" w:rsidRDefault="00D536E5" w:rsidP="00D536E5">
      <w:pPr>
        <w:pStyle w:val="NormalNoSpace"/>
      </w:pPr>
      <w:r w:rsidRPr="00E41056">
        <w:t xml:space="preserve">Information, Connecting and Sharing </w:t>
      </w:r>
      <w:proofErr w:type="spellStart"/>
      <w:r w:rsidRPr="00E41056">
        <w:t>Center</w:t>
      </w:r>
      <w:proofErr w:type="spellEnd"/>
    </w:p>
    <w:p w14:paraId="1611F0A6" w14:textId="77777777" w:rsidR="00D536E5" w:rsidRPr="00E41056" w:rsidRDefault="00D536E5" w:rsidP="00D536E5">
      <w:pPr>
        <w:pStyle w:val="NormalNoSpace"/>
      </w:pPr>
      <w:r w:rsidRPr="00E41056">
        <w:t>International Service for Human Rights</w:t>
      </w:r>
    </w:p>
    <w:p w14:paraId="30B9782F" w14:textId="77777777" w:rsidR="007B2109" w:rsidRPr="00E41056" w:rsidRDefault="007B2109" w:rsidP="007B2109">
      <w:pPr>
        <w:pStyle w:val="NormalNoSpace"/>
      </w:pPr>
      <w:r w:rsidRPr="00E41056">
        <w:t xml:space="preserve">Island of Southeast Asia Network on Male and Transgender Sexual Health </w:t>
      </w:r>
    </w:p>
    <w:p w14:paraId="56447A71" w14:textId="77777777" w:rsidR="007B2109" w:rsidRPr="00E41056" w:rsidRDefault="007B2109" w:rsidP="007B2109">
      <w:pPr>
        <w:pStyle w:val="NormalNoSpace"/>
      </w:pPr>
      <w:r w:rsidRPr="00E41056">
        <w:t>Korean Society of Law and Policy on Sexual Orientation and Gender Identity</w:t>
      </w:r>
    </w:p>
    <w:p w14:paraId="1C1A12F3" w14:textId="77777777" w:rsidR="007B2109" w:rsidRPr="00E41056" w:rsidRDefault="007B2109" w:rsidP="007B2109">
      <w:pPr>
        <w:pStyle w:val="NormalNoSpace"/>
      </w:pPr>
      <w:proofErr w:type="spellStart"/>
      <w:r w:rsidRPr="00E41056">
        <w:t>Manushya</w:t>
      </w:r>
      <w:proofErr w:type="spellEnd"/>
      <w:r w:rsidRPr="00E41056">
        <w:t xml:space="preserve"> Foundation</w:t>
      </w:r>
    </w:p>
    <w:p w14:paraId="2F55BC36" w14:textId="77777777" w:rsidR="007B2109" w:rsidRPr="00E41056" w:rsidRDefault="007B2109" w:rsidP="007B2109">
      <w:pPr>
        <w:pStyle w:val="NormalNoSpace"/>
      </w:pPr>
      <w:r w:rsidRPr="00E41056">
        <w:t>National Transgender People Alliance of Myanmar (NTPAM)</w:t>
      </w:r>
    </w:p>
    <w:p w14:paraId="0722257C" w14:textId="77777777" w:rsidR="007B2109" w:rsidRPr="00E41056" w:rsidRDefault="007B2109" w:rsidP="007B2109">
      <w:pPr>
        <w:pStyle w:val="NormalNoSpace"/>
      </w:pPr>
      <w:r w:rsidRPr="00E41056">
        <w:t>OII Australia/Intersex Day Project/ Global Action for Trans Equality</w:t>
      </w:r>
    </w:p>
    <w:p w14:paraId="4404AC8F" w14:textId="77777777" w:rsidR="007B2109" w:rsidRPr="00E41056" w:rsidRDefault="007B2109" w:rsidP="007B2109">
      <w:pPr>
        <w:pStyle w:val="NormalNoSpace"/>
      </w:pPr>
      <w:r w:rsidRPr="00E41056">
        <w:lastRenderedPageBreak/>
        <w:t>OII Chinese</w:t>
      </w:r>
    </w:p>
    <w:p w14:paraId="025CD1BB" w14:textId="77777777" w:rsidR="007B2109" w:rsidRPr="00E41056" w:rsidRDefault="007B2109" w:rsidP="007B2109">
      <w:pPr>
        <w:pStyle w:val="NormalNoSpace"/>
      </w:pPr>
      <w:proofErr w:type="spellStart"/>
      <w:r w:rsidRPr="00E41056">
        <w:t>OutRight</w:t>
      </w:r>
      <w:proofErr w:type="spellEnd"/>
      <w:r w:rsidRPr="00E41056">
        <w:t xml:space="preserve"> Action International/ASEAN SOGIE Caucus </w:t>
      </w:r>
    </w:p>
    <w:p w14:paraId="11D83FE2" w14:textId="77777777" w:rsidR="007B2109" w:rsidRPr="00E41056" w:rsidRDefault="007B2109" w:rsidP="007B2109">
      <w:pPr>
        <w:pStyle w:val="NormalNoSpace"/>
      </w:pPr>
      <w:proofErr w:type="spellStart"/>
      <w:r w:rsidRPr="00E41056">
        <w:t>OutRight</w:t>
      </w:r>
      <w:proofErr w:type="spellEnd"/>
      <w:r w:rsidRPr="00E41056">
        <w:t xml:space="preserve"> Action International</w:t>
      </w:r>
    </w:p>
    <w:p w14:paraId="30178750" w14:textId="77777777" w:rsidR="007B2109" w:rsidRPr="00E41056" w:rsidRDefault="007B2109" w:rsidP="007B2109">
      <w:pPr>
        <w:pStyle w:val="NormalNoSpace"/>
      </w:pPr>
      <w:r w:rsidRPr="00E41056">
        <w:t>Pacific Sexual Diversity Network &amp; Rainbow Pride Foundation</w:t>
      </w:r>
    </w:p>
    <w:p w14:paraId="11AEC31C" w14:textId="77777777" w:rsidR="007B2109" w:rsidRPr="00E41056" w:rsidRDefault="007B2109" w:rsidP="007B2109">
      <w:pPr>
        <w:pStyle w:val="NormalNoSpace"/>
      </w:pPr>
      <w:r w:rsidRPr="00E41056">
        <w:t>PELANGI – Campaign for Equality and Human Rights Initiative</w:t>
      </w:r>
    </w:p>
    <w:p w14:paraId="787FC1BD" w14:textId="77777777" w:rsidR="007B2109" w:rsidRPr="00E41056" w:rsidRDefault="007B2109" w:rsidP="007B2109">
      <w:pPr>
        <w:pStyle w:val="NormalNoSpace"/>
      </w:pPr>
      <w:r w:rsidRPr="00E41056">
        <w:t xml:space="preserve">People Like Us </w:t>
      </w:r>
      <w:proofErr w:type="spellStart"/>
      <w:r w:rsidRPr="00E41056">
        <w:t>Satu</w:t>
      </w:r>
      <w:proofErr w:type="spellEnd"/>
      <w:r w:rsidRPr="00E41056">
        <w:t xml:space="preserve"> </w:t>
      </w:r>
      <w:proofErr w:type="spellStart"/>
      <w:r w:rsidRPr="00E41056">
        <w:t>Hati</w:t>
      </w:r>
      <w:proofErr w:type="spellEnd"/>
    </w:p>
    <w:p w14:paraId="5838752E" w14:textId="77777777" w:rsidR="007B2109" w:rsidRPr="00E41056" w:rsidRDefault="007B2109" w:rsidP="007B2109">
      <w:pPr>
        <w:pStyle w:val="NormalNoSpace"/>
      </w:pPr>
      <w:r w:rsidRPr="00E41056">
        <w:t>Planet Ally</w:t>
      </w:r>
    </w:p>
    <w:p w14:paraId="08F459EE" w14:textId="77777777" w:rsidR="007B2109" w:rsidRPr="00E41056" w:rsidRDefault="007B2109" w:rsidP="007B2109">
      <w:pPr>
        <w:pStyle w:val="NormalNoSpace"/>
      </w:pPr>
      <w:r w:rsidRPr="00E41056">
        <w:t xml:space="preserve">Samoa </w:t>
      </w:r>
      <w:proofErr w:type="spellStart"/>
      <w:r w:rsidRPr="00E41056">
        <w:t>Fa’afafine</w:t>
      </w:r>
      <w:proofErr w:type="spellEnd"/>
      <w:r w:rsidRPr="00E41056">
        <w:t xml:space="preserve"> Association Inc.</w:t>
      </w:r>
    </w:p>
    <w:p w14:paraId="212AA860" w14:textId="77777777" w:rsidR="007B2109" w:rsidRPr="00E41056" w:rsidRDefault="007B2109" w:rsidP="007B2109">
      <w:pPr>
        <w:pStyle w:val="NormalNoSpace"/>
      </w:pPr>
      <w:proofErr w:type="spellStart"/>
      <w:r w:rsidRPr="00E41056">
        <w:t>Sampoorna</w:t>
      </w:r>
      <w:proofErr w:type="spellEnd"/>
      <w:r w:rsidRPr="00E41056">
        <w:t xml:space="preserve"> India</w:t>
      </w:r>
    </w:p>
    <w:p w14:paraId="7C8A2517" w14:textId="77777777" w:rsidR="007B2109" w:rsidRPr="00E41056" w:rsidRDefault="007B2109" w:rsidP="007B2109">
      <w:pPr>
        <w:pStyle w:val="NormalNoSpace"/>
      </w:pPr>
      <w:proofErr w:type="spellStart"/>
      <w:r w:rsidRPr="00E41056">
        <w:t>Sangsan</w:t>
      </w:r>
      <w:proofErr w:type="spellEnd"/>
      <w:r w:rsidRPr="00E41056">
        <w:t xml:space="preserve"> </w:t>
      </w:r>
      <w:proofErr w:type="spellStart"/>
      <w:r w:rsidRPr="00E41056">
        <w:t>Anakot</w:t>
      </w:r>
      <w:proofErr w:type="spellEnd"/>
      <w:r w:rsidRPr="00E41056">
        <w:t xml:space="preserve"> </w:t>
      </w:r>
      <w:proofErr w:type="spellStart"/>
      <w:r w:rsidRPr="00E41056">
        <w:t>Yawachon</w:t>
      </w:r>
      <w:proofErr w:type="spellEnd"/>
      <w:r w:rsidRPr="00E41056">
        <w:t xml:space="preserve"> Development Project</w:t>
      </w:r>
    </w:p>
    <w:p w14:paraId="5ABDE8BA" w14:textId="77777777" w:rsidR="007B2109" w:rsidRPr="00E41056" w:rsidRDefault="007B2109" w:rsidP="007B2109">
      <w:pPr>
        <w:pStyle w:val="NormalNoSpace"/>
      </w:pPr>
      <w:r w:rsidRPr="00E41056">
        <w:t>Sexuality Policy Watch</w:t>
      </w:r>
    </w:p>
    <w:p w14:paraId="42960DB3" w14:textId="77777777" w:rsidR="007B2109" w:rsidRPr="00E41056" w:rsidRDefault="007B2109" w:rsidP="007B2109">
      <w:pPr>
        <w:pStyle w:val="NormalNoSpace"/>
      </w:pPr>
      <w:r w:rsidRPr="00E41056">
        <w:t>TIP for Human Rights in Nigeria</w:t>
      </w:r>
    </w:p>
    <w:p w14:paraId="1198559C" w14:textId="77777777" w:rsidR="007B2109" w:rsidRPr="00E41056" w:rsidRDefault="007B2109" w:rsidP="007B2109">
      <w:pPr>
        <w:pStyle w:val="NormalNoSpace"/>
      </w:pPr>
      <w:proofErr w:type="spellStart"/>
      <w:r w:rsidRPr="00E41056">
        <w:t>Venasa</w:t>
      </w:r>
      <w:proofErr w:type="spellEnd"/>
      <w:r w:rsidRPr="00E41056">
        <w:t xml:space="preserve"> Transgender Network</w:t>
      </w:r>
    </w:p>
    <w:p w14:paraId="1C190363" w14:textId="77777777" w:rsidR="007B2109" w:rsidRPr="00E41056" w:rsidRDefault="007B2109" w:rsidP="007B2109">
      <w:pPr>
        <w:pStyle w:val="NormalNoSpace"/>
      </w:pPr>
      <w:r w:rsidRPr="00E41056">
        <w:t>Youth Voices Count</w:t>
      </w:r>
    </w:p>
    <w:p w14:paraId="39D0F9DB" w14:textId="06A3ABE9" w:rsidR="00D536E5" w:rsidRDefault="007B2109" w:rsidP="007B2109">
      <w:pPr>
        <w:pStyle w:val="Heading4"/>
      </w:pPr>
      <w:r>
        <w:t>Governments</w:t>
      </w:r>
    </w:p>
    <w:p w14:paraId="429E05A3" w14:textId="77777777" w:rsidR="007B2109" w:rsidRPr="00E41056" w:rsidRDefault="007B2109" w:rsidP="007B2109">
      <w:pPr>
        <w:pStyle w:val="NormalNoSpace"/>
      </w:pPr>
      <w:r w:rsidRPr="00E41056">
        <w:t>Embassy of Sweden</w:t>
      </w:r>
    </w:p>
    <w:p w14:paraId="434B1AAD" w14:textId="77777777" w:rsidR="007B2109" w:rsidRPr="00E41056" w:rsidRDefault="007B2109" w:rsidP="007B2109">
      <w:pPr>
        <w:pStyle w:val="NormalNoSpace"/>
      </w:pPr>
      <w:r w:rsidRPr="00E41056">
        <w:t xml:space="preserve">Thailand Ministry of Justice </w:t>
      </w:r>
    </w:p>
    <w:p w14:paraId="210E0833" w14:textId="689F4009" w:rsidR="00D536E5" w:rsidRDefault="007B2109" w:rsidP="007B2109">
      <w:pPr>
        <w:pStyle w:val="NormalNoSpace"/>
      </w:pPr>
      <w:r w:rsidRPr="00E41056">
        <w:t>United States Agency for International Development (USAID)</w:t>
      </w:r>
    </w:p>
    <w:p w14:paraId="325D4480" w14:textId="00222028" w:rsidR="00D536E5" w:rsidRDefault="007B2109" w:rsidP="007B2109">
      <w:pPr>
        <w:pStyle w:val="Heading4"/>
      </w:pPr>
      <w:r w:rsidRPr="00E41056">
        <w:t>Academia, research, independent experts</w:t>
      </w:r>
    </w:p>
    <w:p w14:paraId="1E5DA879" w14:textId="77777777" w:rsidR="007B2109" w:rsidRDefault="007B2109" w:rsidP="007B2109">
      <w:pPr>
        <w:pStyle w:val="NormalNoSpace"/>
      </w:pPr>
      <w:r w:rsidRPr="00E41056">
        <w:t>The Economist Intelligence Unit, Asia Pacific</w:t>
      </w:r>
    </w:p>
    <w:p w14:paraId="740226AF" w14:textId="77777777" w:rsidR="007B2109" w:rsidRDefault="007B2109" w:rsidP="007B2109">
      <w:pPr>
        <w:pStyle w:val="NormalNoSpace"/>
      </w:pPr>
      <w:r w:rsidRPr="00E41056">
        <w:t>Williams Institute, UCLA School of Law</w:t>
      </w:r>
    </w:p>
    <w:p w14:paraId="423D6764" w14:textId="77777777" w:rsidR="007B2109" w:rsidRDefault="007B2109" w:rsidP="007B2109">
      <w:pPr>
        <w:pStyle w:val="NormalNoSpace"/>
      </w:pPr>
      <w:proofErr w:type="spellStart"/>
      <w:r w:rsidRPr="00E41056">
        <w:t>Mahidol</w:t>
      </w:r>
      <w:proofErr w:type="spellEnd"/>
      <w:r w:rsidRPr="00E41056">
        <w:t xml:space="preserve"> University</w:t>
      </w:r>
    </w:p>
    <w:p w14:paraId="20BD6F25" w14:textId="46ECD804" w:rsidR="007B2109" w:rsidRPr="00E41056" w:rsidRDefault="007B2109" w:rsidP="007B2109">
      <w:pPr>
        <w:pStyle w:val="NormalNoSpace"/>
      </w:pPr>
      <w:r w:rsidRPr="00E41056">
        <w:t>Chinese University of Hong Kong</w:t>
      </w:r>
    </w:p>
    <w:p w14:paraId="1D0AA7B2" w14:textId="2221266B" w:rsidR="007B2109" w:rsidRDefault="007B2109" w:rsidP="007B2109">
      <w:pPr>
        <w:pStyle w:val="Heading4"/>
      </w:pPr>
      <w:r>
        <w:t>United Nations</w:t>
      </w:r>
    </w:p>
    <w:p w14:paraId="29936894" w14:textId="77777777" w:rsidR="007B2109" w:rsidRPr="00E41056" w:rsidRDefault="007B2109" w:rsidP="007B2109">
      <w:pPr>
        <w:pStyle w:val="NormalNoSpace"/>
      </w:pPr>
      <w:r w:rsidRPr="00E41056">
        <w:t>UN Thailand Country Team</w:t>
      </w:r>
    </w:p>
    <w:p w14:paraId="171FC38B" w14:textId="77777777" w:rsidR="007B2109" w:rsidRPr="00E41056" w:rsidRDefault="007B2109" w:rsidP="007B2109">
      <w:pPr>
        <w:pStyle w:val="NormalNoSpace"/>
      </w:pPr>
      <w:r w:rsidRPr="00E41056">
        <w:t>UN Independent Expert</w:t>
      </w:r>
    </w:p>
    <w:p w14:paraId="389D73CD" w14:textId="77777777" w:rsidR="007B2109" w:rsidRPr="00E41056" w:rsidRDefault="007B2109" w:rsidP="007B2109">
      <w:pPr>
        <w:pStyle w:val="NormalNoSpace"/>
      </w:pPr>
      <w:r w:rsidRPr="00E41056">
        <w:t xml:space="preserve">Office of the High Commissioner for Human Rights </w:t>
      </w:r>
    </w:p>
    <w:p w14:paraId="0B70642E" w14:textId="77777777" w:rsidR="007B2109" w:rsidRPr="00E41056" w:rsidRDefault="007B2109" w:rsidP="007B2109">
      <w:pPr>
        <w:pStyle w:val="NormalNoSpace"/>
      </w:pPr>
      <w:r w:rsidRPr="00E41056">
        <w:t xml:space="preserve">United Nations Development Programme </w:t>
      </w:r>
    </w:p>
    <w:p w14:paraId="5779A628" w14:textId="77777777" w:rsidR="007B2109" w:rsidRPr="00E41056" w:rsidRDefault="007B2109" w:rsidP="007B2109">
      <w:pPr>
        <w:pStyle w:val="NormalNoSpace"/>
      </w:pPr>
      <w:r w:rsidRPr="00E41056">
        <w:t xml:space="preserve">United Nations Population Fund </w:t>
      </w:r>
    </w:p>
    <w:p w14:paraId="70E83787" w14:textId="77777777" w:rsidR="007B2109" w:rsidRPr="00E41056" w:rsidRDefault="007B2109" w:rsidP="007B2109">
      <w:pPr>
        <w:pStyle w:val="NormalNoSpace"/>
      </w:pPr>
      <w:r w:rsidRPr="00E41056">
        <w:t xml:space="preserve">United Nations Programme on HIV/AIDS </w:t>
      </w:r>
    </w:p>
    <w:p w14:paraId="17A71E92" w14:textId="77777777" w:rsidR="007B2109" w:rsidRPr="00E41056" w:rsidRDefault="007B2109" w:rsidP="007B2109">
      <w:pPr>
        <w:pStyle w:val="NormalNoSpace"/>
      </w:pPr>
      <w:r w:rsidRPr="00E41056">
        <w:t>UN Women</w:t>
      </w:r>
    </w:p>
    <w:p w14:paraId="0727EFA4" w14:textId="7043D1C2" w:rsidR="007B2109" w:rsidRDefault="007B2109" w:rsidP="007B2109">
      <w:pPr>
        <w:pStyle w:val="Heading4"/>
      </w:pPr>
      <w:r>
        <w:t>Organisers</w:t>
      </w:r>
    </w:p>
    <w:p w14:paraId="014C8981" w14:textId="5ACD7458" w:rsidR="007B2109" w:rsidRDefault="007B2109" w:rsidP="007B2109">
      <w:pPr>
        <w:pStyle w:val="NormalNoSpace"/>
      </w:pPr>
      <w:r w:rsidRPr="00E41056">
        <w:t>Asia Pacific Forum of National Human Rights Institutions</w:t>
      </w:r>
    </w:p>
    <w:p w14:paraId="5C1B5758" w14:textId="1FF2C541" w:rsidR="007B2109" w:rsidRPr="00D536E5" w:rsidRDefault="007B2109" w:rsidP="007B2109">
      <w:pPr>
        <w:pStyle w:val="NormalNoSpace"/>
      </w:pPr>
      <w:r w:rsidRPr="00E41056">
        <w:t>United Nations Development Programme, Bangkok Regional Hub</w:t>
      </w:r>
    </w:p>
    <w:p w14:paraId="12AF04F3" w14:textId="77777777" w:rsidR="00062345" w:rsidRDefault="00062345">
      <w:pPr>
        <w:spacing w:before="0" w:after="0"/>
      </w:pPr>
      <w:r>
        <w:br w:type="page"/>
      </w:r>
    </w:p>
    <w:p w14:paraId="41A035AB" w14:textId="2A34765D" w:rsidR="0075434A" w:rsidRPr="00B068A2" w:rsidRDefault="00062345" w:rsidP="00062345">
      <w:pPr>
        <w:pStyle w:val="Heading1"/>
        <w:spacing w:after="0"/>
      </w:pPr>
      <w:bookmarkStart w:id="100" w:name="_Toc491332792"/>
      <w:r>
        <w:lastRenderedPageBreak/>
        <w:t>Appendix 3: Biography of s</w:t>
      </w:r>
      <w:r w:rsidR="0075434A" w:rsidRPr="00B068A2">
        <w:t>peakers</w:t>
      </w:r>
      <w:bookmarkEnd w:id="99"/>
      <w:bookmarkEnd w:id="100"/>
    </w:p>
    <w:p w14:paraId="3A37B185" w14:textId="77777777" w:rsidR="0075434A" w:rsidRPr="00062345" w:rsidRDefault="0075434A" w:rsidP="00062345">
      <w:pPr>
        <w:spacing w:before="0"/>
      </w:pPr>
      <w:r w:rsidRPr="00062345">
        <w:t>(In order of appearance)</w:t>
      </w:r>
    </w:p>
    <w:p w14:paraId="4263F4A6" w14:textId="77777777" w:rsidR="00062345" w:rsidRDefault="0075434A" w:rsidP="00FD2899">
      <w:pPr>
        <w:pStyle w:val="Heading4"/>
        <w:spacing w:after="0"/>
      </w:pPr>
      <w:r w:rsidRPr="00B068A2">
        <w:t xml:space="preserve">H.E. </w:t>
      </w:r>
      <w:proofErr w:type="spellStart"/>
      <w:r w:rsidRPr="00B068A2">
        <w:t>Staffan</w:t>
      </w:r>
      <w:proofErr w:type="spellEnd"/>
      <w:r w:rsidRPr="00B068A2">
        <w:t xml:space="preserve"> </w:t>
      </w:r>
      <w:proofErr w:type="spellStart"/>
      <w:r w:rsidRPr="00B068A2">
        <w:t>Herrström</w:t>
      </w:r>
      <w:proofErr w:type="spellEnd"/>
    </w:p>
    <w:p w14:paraId="357FD7CD" w14:textId="2040E98C" w:rsidR="0075434A" w:rsidRPr="00062345" w:rsidRDefault="0075434A" w:rsidP="00FD2899">
      <w:pPr>
        <w:spacing w:before="0"/>
        <w:rPr>
          <w:i/>
        </w:rPr>
      </w:pPr>
      <w:r w:rsidRPr="00062345">
        <w:rPr>
          <w:i/>
        </w:rPr>
        <w:t>Ambassador of Sweden to the Kingdom of Thailand, Lao Peoples’ Democratic Republic and the Republic of the Union of Myanmar</w:t>
      </w:r>
    </w:p>
    <w:p w14:paraId="048698DC" w14:textId="04D9AD72" w:rsidR="0075434A" w:rsidRPr="00B068A2" w:rsidRDefault="0075434A" w:rsidP="00062345">
      <w:proofErr w:type="spellStart"/>
      <w:r w:rsidRPr="00B068A2">
        <w:t>Staffan</w:t>
      </w:r>
      <w:proofErr w:type="spellEnd"/>
      <w:r w:rsidRPr="00B068A2">
        <w:t xml:space="preserve"> is currently the Ambassador of Sweden to the Kingdom of Thailand, Lao Peoples’ Democratic Republic and the Republic of the Union of Myanmar since 2015 (residence in Bangkok). He is responsible for promoting and protecting Swedish interests and to strengthen the relations between Sweden and the countries of accreditation including between companies, organ</w:t>
      </w:r>
      <w:r>
        <w:t>is</w:t>
      </w:r>
      <w:r w:rsidRPr="00B068A2">
        <w:t>ations and individuals. An important task is to promote interest in universal values close to the heart of the Swedish Government including human rights and gender equality. The Embassy is under his leadership responsible for the implementation of regional development cooperation in Asia and the Pacific and a bilateral development program</w:t>
      </w:r>
      <w:r>
        <w:t>me</w:t>
      </w:r>
      <w:r w:rsidRPr="00B068A2">
        <w:t xml:space="preserve"> in Myanmar. Prior to this position, the Ambassador has been posted as Swedish Ambassador in Poland (2011 to 2015), Vietnam (2010 to 2011) and Tanzania (2007 to 2010). Before joining the Swedish Foreign Ministry, he was Deputy Director General of the Swedish International Development Cooperation Agency (</w:t>
      </w:r>
      <w:proofErr w:type="spellStart"/>
      <w:r w:rsidRPr="00B068A2">
        <w:t>Sida</w:t>
      </w:r>
      <w:proofErr w:type="spellEnd"/>
      <w:r w:rsidRPr="00B068A2">
        <w:t>) (1995</w:t>
      </w:r>
      <w:r w:rsidR="00F3764F">
        <w:t>–</w:t>
      </w:r>
      <w:r w:rsidRPr="00B068A2">
        <w:t>2007). In addition, the Ambassador was State Secretary in the Prime Minister’s Office 1991</w:t>
      </w:r>
      <w:r w:rsidR="00F3764F">
        <w:t>–</w:t>
      </w:r>
      <w:r w:rsidRPr="00B068A2">
        <w:t>1994. He has also worked as a journalist at the Swedish newspaper ‘</w:t>
      </w:r>
      <w:proofErr w:type="spellStart"/>
      <w:r w:rsidRPr="00B068A2">
        <w:t>Göteborgs-Posten</w:t>
      </w:r>
      <w:proofErr w:type="spellEnd"/>
      <w:r w:rsidRPr="00B068A2">
        <w:t xml:space="preserve">’. </w:t>
      </w:r>
      <w:proofErr w:type="spellStart"/>
      <w:r w:rsidRPr="00B068A2">
        <w:t>Staffan</w:t>
      </w:r>
      <w:proofErr w:type="spellEnd"/>
      <w:r w:rsidRPr="00B068A2">
        <w:t xml:space="preserve"> holds Bachelor of Arts (Russian, Eastern European Studies, and Political Science) degree from Uppsala University in Sweden (1980).</w:t>
      </w:r>
      <w:r w:rsidR="00F3764F">
        <w:t xml:space="preserve"> </w:t>
      </w:r>
    </w:p>
    <w:p w14:paraId="754C5B80" w14:textId="77777777" w:rsidR="00062345" w:rsidRDefault="0075434A" w:rsidP="00FD2899">
      <w:pPr>
        <w:pStyle w:val="Heading4"/>
        <w:spacing w:after="0"/>
      </w:pPr>
      <w:r w:rsidRPr="00B068A2">
        <w:t>Luc Stevens</w:t>
      </w:r>
    </w:p>
    <w:p w14:paraId="3AA2EB0A" w14:textId="61291240" w:rsidR="0075434A" w:rsidRPr="00062345" w:rsidRDefault="0075434A" w:rsidP="00FD2899">
      <w:pPr>
        <w:spacing w:before="0"/>
        <w:rPr>
          <w:b/>
          <w:bCs/>
          <w:i/>
        </w:rPr>
      </w:pPr>
      <w:r w:rsidRPr="00062345">
        <w:rPr>
          <w:i/>
        </w:rPr>
        <w:t>UN Resident Coordinator &amp; UNDP Resident Representative in Thailand</w:t>
      </w:r>
      <w:r w:rsidRPr="00062345">
        <w:rPr>
          <w:b/>
          <w:bCs/>
          <w:i/>
        </w:rPr>
        <w:t xml:space="preserve"> </w:t>
      </w:r>
    </w:p>
    <w:p w14:paraId="171FC48A" w14:textId="77777777" w:rsidR="0075434A" w:rsidRPr="00B068A2" w:rsidRDefault="0075434A" w:rsidP="00062345">
      <w:r w:rsidRPr="00B068A2">
        <w:t xml:space="preserve">Luc has over 25 years of experience in humanitarian aid and international development with the United Nations. He started his international career as a volunteer development worker in Djibouti. He then joined the United Nations where he was involved in humanitarian programmes and emergency management with the UN Refugee Agency. Prior to his appointment to the Kingdom of Thailand he served for 5 years as UN Resident Coordinator/Humanitarian Coordinator and UNDP/UNFPA Resident Representative in the Hashemite Kingdom of Jordan, and as UNHCR’s Regional Support Hub Manager for West Africa/Representative </w:t>
      </w:r>
      <w:proofErr w:type="spellStart"/>
      <w:r w:rsidRPr="00B068A2">
        <w:t>a.i</w:t>
      </w:r>
      <w:proofErr w:type="spellEnd"/>
      <w:r w:rsidRPr="00B068A2">
        <w:t xml:space="preserve">. in Ghana. </w:t>
      </w:r>
    </w:p>
    <w:p w14:paraId="38C396CF" w14:textId="77777777" w:rsidR="0075434A" w:rsidRPr="00B068A2" w:rsidRDefault="0075434A" w:rsidP="00062345">
      <w:r w:rsidRPr="00B068A2">
        <w:t xml:space="preserve">Luc began his UN career with UNHCR in 1987 as a Junior Professional Officer in the Sudan. He also served in the Islamic Republic of Iran and Tanzania and held various positions in UNHCR Headquarters in Geneva. Luc is a Belgian national and holds a Master’s Degree in Criminology from the Belgian State University. In addition to Flemish, his native language, he speaks English and French. </w:t>
      </w:r>
    </w:p>
    <w:p w14:paraId="7FAE0F04" w14:textId="77777777" w:rsidR="00062345" w:rsidRDefault="0075434A" w:rsidP="00FD2899">
      <w:pPr>
        <w:pStyle w:val="Heading4"/>
        <w:spacing w:after="0"/>
      </w:pPr>
      <w:r w:rsidRPr="00B068A2">
        <w:t xml:space="preserve">Caitlin </w:t>
      </w:r>
      <w:proofErr w:type="spellStart"/>
      <w:r w:rsidRPr="00B068A2">
        <w:t>Wiesen</w:t>
      </w:r>
      <w:proofErr w:type="spellEnd"/>
    </w:p>
    <w:p w14:paraId="427D5146" w14:textId="35FD70FC" w:rsidR="0075434A" w:rsidRPr="00062345" w:rsidRDefault="0075434A" w:rsidP="00FD2899">
      <w:pPr>
        <w:spacing w:before="0"/>
        <w:rPr>
          <w:b/>
          <w:bCs/>
          <w:i/>
        </w:rPr>
      </w:pPr>
      <w:r w:rsidRPr="00062345">
        <w:rPr>
          <w:i/>
        </w:rPr>
        <w:t>Chief, Regional Policy and Programme, UNDP Bangkok Regional Hub</w:t>
      </w:r>
      <w:r w:rsidRPr="00062345">
        <w:rPr>
          <w:b/>
          <w:bCs/>
          <w:i/>
        </w:rPr>
        <w:t xml:space="preserve"> </w:t>
      </w:r>
    </w:p>
    <w:p w14:paraId="5CA3CE9B" w14:textId="73228FF7" w:rsidR="0075434A" w:rsidRPr="00B068A2" w:rsidRDefault="0075434A" w:rsidP="00062345">
      <w:r w:rsidRPr="00B068A2">
        <w:t xml:space="preserve">Caitlin </w:t>
      </w:r>
      <w:proofErr w:type="spellStart"/>
      <w:r w:rsidRPr="00B068A2">
        <w:t>Wiesen</w:t>
      </w:r>
      <w:proofErr w:type="spellEnd"/>
      <w:r w:rsidRPr="00B068A2">
        <w:t xml:space="preserve"> has over 25 years’ experience in development, working on issues of poverty reduction, governance, civil society empowerment, gender, sustainable human development, HIV, health and strategic partnerships. Caitlin was Regional Manager of the UNDP Asia Pacific Regional </w:t>
      </w:r>
      <w:proofErr w:type="spellStart"/>
      <w:r w:rsidRPr="00B068A2">
        <w:t>Center</w:t>
      </w:r>
      <w:proofErr w:type="spellEnd"/>
      <w:r w:rsidRPr="00B068A2">
        <w:t xml:space="preserve"> from 2013</w:t>
      </w:r>
      <w:r w:rsidR="00F3764F">
        <w:t>–</w:t>
      </w:r>
      <w:r w:rsidRPr="00B068A2">
        <w:t>2014. Prior to this she was the Country Director of UNDP India, and has held a variety of positions at UNDP in policy, strategic partnership, Asia and Africa Bureaus.</w:t>
      </w:r>
      <w:r w:rsidR="00F3764F">
        <w:t xml:space="preserve"> </w:t>
      </w:r>
      <w:r w:rsidRPr="00B068A2">
        <w:t xml:space="preserve">Before joining the India office in 2010, Caitlin was Regional Practice Leader and Programme Coordinator for Asia and the Pacific on human rights, gender inequality and the human development dimensions of HIV, based in Colombo Sri Lanka. Prior to this, she </w:t>
      </w:r>
      <w:r w:rsidRPr="00B068A2">
        <w:lastRenderedPageBreak/>
        <w:t>was Senior Advisor on Poverty and Sustainable Human Development for Africa (1993</w:t>
      </w:r>
      <w:r w:rsidR="00F3764F">
        <w:t>–</w:t>
      </w:r>
      <w:r w:rsidRPr="00B068A2">
        <w:t>1998) and Director, Civil Society Division in the Bureau of Strategic Partnerships (1999</w:t>
      </w:r>
      <w:r w:rsidR="00F3764F">
        <w:t>–</w:t>
      </w:r>
      <w:r w:rsidRPr="00B068A2">
        <w:t>2002). Between 2003 and 2006, Caitlin, was the Senior Advisor and Deputy Director HIV, in the Bureau of Development Policy.</w:t>
      </w:r>
      <w:r w:rsidR="00F3764F">
        <w:t xml:space="preserve"> </w:t>
      </w:r>
      <w:r w:rsidRPr="00B068A2">
        <w:t>Caitlin has worked in Asia and the Pacific, Africa, North America and Europe. She holds a Masters in International Finance and Energy Policy from the Fletcher School of Law and Diplomacy, United States.</w:t>
      </w:r>
      <w:r w:rsidR="00F3764F">
        <w:t xml:space="preserve"> </w:t>
      </w:r>
    </w:p>
    <w:p w14:paraId="56E455A0" w14:textId="77777777" w:rsidR="00062345" w:rsidRDefault="0075434A" w:rsidP="00FD2899">
      <w:pPr>
        <w:pStyle w:val="Heading4"/>
        <w:spacing w:after="0"/>
      </w:pPr>
      <w:r w:rsidRPr="00B068A2">
        <w:t xml:space="preserve">Muhammad </w:t>
      </w:r>
      <w:proofErr w:type="spellStart"/>
      <w:r w:rsidRPr="00B068A2">
        <w:t>Nurkhoiron</w:t>
      </w:r>
      <w:proofErr w:type="spellEnd"/>
    </w:p>
    <w:p w14:paraId="133A0AE5" w14:textId="2B2FBB16" w:rsidR="0075434A" w:rsidRPr="00062345" w:rsidRDefault="0075434A" w:rsidP="00FD2899">
      <w:pPr>
        <w:spacing w:before="0"/>
        <w:rPr>
          <w:b/>
          <w:bCs/>
          <w:i/>
        </w:rPr>
      </w:pPr>
      <w:r w:rsidRPr="00062345">
        <w:rPr>
          <w:i/>
        </w:rPr>
        <w:t>Vice Chairperson, Indonesian Commission on Human Rights</w:t>
      </w:r>
      <w:r w:rsidR="00F3764F">
        <w:rPr>
          <w:b/>
          <w:bCs/>
          <w:i/>
        </w:rPr>
        <w:t xml:space="preserve"> </w:t>
      </w:r>
    </w:p>
    <w:p w14:paraId="34C0ACF6" w14:textId="65A8A9ED" w:rsidR="0075434A" w:rsidRPr="00B068A2" w:rsidRDefault="0075434A" w:rsidP="00062345">
      <w:r w:rsidRPr="00B068A2">
        <w:t>Muhammad is a Commissioner and the Vice Chairperson of the Indonesian National Commission for Human Rights (KOMNAS HAM). He is the Coordinator of KOMNAS HAM’s Sub-Commission on Public Education and Awareness (2014 to present).</w:t>
      </w:r>
      <w:r w:rsidR="00F3764F">
        <w:t xml:space="preserve"> </w:t>
      </w:r>
      <w:r w:rsidRPr="00B068A2">
        <w:t>He is also the Commission’s Special Rapporteur for Minority Rights (LGBTI is a minority rights issue); and he is the initiator and coordinator for human rights cities.</w:t>
      </w:r>
      <w:r w:rsidR="00F3764F">
        <w:t xml:space="preserve"> </w:t>
      </w:r>
      <w:r w:rsidRPr="00B068A2">
        <w:t xml:space="preserve">Muhammad is also responsible for the Inquiry for Alleged Gross Violations of Human Rights (Shaman’s slaughter case at East </w:t>
      </w:r>
      <w:proofErr w:type="spellStart"/>
      <w:r w:rsidRPr="00B068A2">
        <w:t>Jave</w:t>
      </w:r>
      <w:proofErr w:type="spellEnd"/>
      <w:r w:rsidRPr="00B068A2">
        <w:t xml:space="preserve"> 1998</w:t>
      </w:r>
      <w:r w:rsidR="00F3764F">
        <w:t>–</w:t>
      </w:r>
      <w:r w:rsidRPr="00B068A2">
        <w:t>99).</w:t>
      </w:r>
      <w:r w:rsidR="00F3764F">
        <w:t xml:space="preserve"> </w:t>
      </w:r>
      <w:r w:rsidRPr="00B068A2">
        <w:t xml:space="preserve">Muhammad currently serves on the Board of the </w:t>
      </w:r>
      <w:proofErr w:type="spellStart"/>
      <w:r w:rsidRPr="00B068A2">
        <w:t>Desantara</w:t>
      </w:r>
      <w:proofErr w:type="spellEnd"/>
      <w:r w:rsidRPr="00B068A2">
        <w:t xml:space="preserve"> Foundation working on </w:t>
      </w:r>
      <w:proofErr w:type="spellStart"/>
      <w:r w:rsidRPr="00B068A2">
        <w:t>minoirity</w:t>
      </w:r>
      <w:proofErr w:type="spellEnd"/>
      <w:r w:rsidRPr="00B068A2">
        <w:t xml:space="preserve"> and cultural rights (2010</w:t>
      </w:r>
      <w:r w:rsidR="00F3764F">
        <w:t>–</w:t>
      </w:r>
      <w:r w:rsidRPr="00B068A2">
        <w:t>present).</w:t>
      </w:r>
      <w:r w:rsidR="00F3764F">
        <w:t xml:space="preserve"> </w:t>
      </w:r>
      <w:r w:rsidRPr="00B068A2">
        <w:t>From 2007</w:t>
      </w:r>
      <w:r w:rsidR="00F3764F">
        <w:t>–</w:t>
      </w:r>
      <w:r w:rsidRPr="00B068A2">
        <w:t xml:space="preserve">2008 he was a Member of the Steering Committee </w:t>
      </w:r>
      <w:r w:rsidR="00F3764F">
        <w:t>–</w:t>
      </w:r>
      <w:r w:rsidRPr="00B068A2">
        <w:t xml:space="preserve"> Networking for Monitoring Religious Freedom in West Java. From 2005</w:t>
      </w:r>
      <w:r w:rsidR="00F3764F">
        <w:t>–</w:t>
      </w:r>
      <w:r w:rsidRPr="00B068A2">
        <w:t xml:space="preserve">2010 he was the Executive Director, </w:t>
      </w:r>
      <w:proofErr w:type="spellStart"/>
      <w:r w:rsidRPr="00B068A2">
        <w:t>Desantara</w:t>
      </w:r>
      <w:proofErr w:type="spellEnd"/>
      <w:r w:rsidRPr="00B068A2">
        <w:t xml:space="preserve"> Foundation and from 2006</w:t>
      </w:r>
      <w:r w:rsidR="00F3764F">
        <w:t>–</w:t>
      </w:r>
      <w:r w:rsidRPr="00B068A2">
        <w:t>2007 was on the Steering Committee of the National Alliance for Penal Codes Reformation.</w:t>
      </w:r>
      <w:r w:rsidR="00F3764F">
        <w:t xml:space="preserve"> </w:t>
      </w:r>
      <w:r w:rsidRPr="00B068A2">
        <w:t>From 2004</w:t>
      </w:r>
      <w:r w:rsidR="00F3764F">
        <w:t>–</w:t>
      </w:r>
      <w:r w:rsidRPr="00B068A2">
        <w:t xml:space="preserve">2005 Muhammad was the Project Director for the Advocacy and Media Campaign on Minority Rights. </w:t>
      </w:r>
    </w:p>
    <w:p w14:paraId="1D725158" w14:textId="77777777" w:rsidR="00FD2899" w:rsidRDefault="0075434A" w:rsidP="00FD2899">
      <w:pPr>
        <w:pStyle w:val="Heading4"/>
        <w:spacing w:after="0"/>
      </w:pPr>
      <w:r w:rsidRPr="00B068A2">
        <w:t>Pip Dargan</w:t>
      </w:r>
    </w:p>
    <w:p w14:paraId="5EB834EE" w14:textId="57A89E79" w:rsidR="0075434A" w:rsidRPr="00FD2899" w:rsidRDefault="0075434A" w:rsidP="00FD2899">
      <w:pPr>
        <w:spacing w:before="0"/>
        <w:rPr>
          <w:b/>
          <w:bCs/>
          <w:i/>
        </w:rPr>
      </w:pPr>
      <w:r w:rsidRPr="00FD2899">
        <w:rPr>
          <w:i/>
        </w:rPr>
        <w:t>Deputy Director, Asia Pacific Forum of National Human Rights Institutions</w:t>
      </w:r>
      <w:r w:rsidR="00F3764F">
        <w:rPr>
          <w:b/>
          <w:bCs/>
          <w:i/>
        </w:rPr>
        <w:t xml:space="preserve"> </w:t>
      </w:r>
    </w:p>
    <w:p w14:paraId="5BD366F3" w14:textId="1B0C5176" w:rsidR="0075434A" w:rsidRPr="00B068A2" w:rsidRDefault="0075434A" w:rsidP="00062345">
      <w:r w:rsidRPr="00B068A2">
        <w:t>Pip is the Deputy Director of the Asia Pacific Forum of National Human Rights Institutions (APF). Pip helped establish the APF Secretariat in 1996 and has been responsible for the management and implementation of APF human rights program</w:t>
      </w:r>
      <w:r>
        <w:t>me</w:t>
      </w:r>
      <w:r w:rsidRPr="00B068A2">
        <w:t>s including human trafficking, women’s rights, internally displaced persons, sexual orientation, gender identity and sex characteristics.</w:t>
      </w:r>
      <w:r w:rsidR="00F3764F">
        <w:t xml:space="preserve"> </w:t>
      </w:r>
      <w:r w:rsidRPr="00B068A2">
        <w:t>Pip played a key coordinating and advocacy role at the UN Human Rights Council and the Commission on the Status of Women relating to the formal and independent recognition of national human rights institutions.</w:t>
      </w:r>
      <w:r w:rsidR="00F3764F">
        <w:t xml:space="preserve"> </w:t>
      </w:r>
      <w:r w:rsidRPr="00B068A2">
        <w:t>She is the APF’s Gender Focal Point with responsibility for mainstreaming gender equality into the operations and work of the APF. Pip has a range of strategic and managerial responsibilities associated with the operations of the APF secretariat.</w:t>
      </w:r>
      <w:r w:rsidR="00F3764F">
        <w:t xml:space="preserve"> </w:t>
      </w:r>
      <w:r w:rsidRPr="00B068A2">
        <w:t>Prior to the APF, Pip held various positions at the Australian Human Rights Commission including in the areas of corporate services, investigation and conciliation, public education and human rights policy. In 2009, Pip was appointed by the then Australian Minister of Foreign Affairs as a panel member to provide advice to the Government on its Human Rights Grant Scheme.</w:t>
      </w:r>
      <w:r w:rsidR="00F3764F">
        <w:t xml:space="preserve"> </w:t>
      </w:r>
      <w:r w:rsidRPr="00B068A2">
        <w:t>Pip continued in this role until the Scheme was discontinued in February 2014. From 1984</w:t>
      </w:r>
      <w:r w:rsidR="00F3764F">
        <w:t>–</w:t>
      </w:r>
      <w:r w:rsidRPr="00B068A2">
        <w:t xml:space="preserve">1987, Pip worked in the Australian Public Service and held positions at the Constitutional Commission, the Inquiry into Justice Lionel Murphy and the Department of Special Minister of State. She holds a Bachelor of Arts degree from the University of Sydney, majoring in Politics and History. </w:t>
      </w:r>
    </w:p>
    <w:p w14:paraId="6DA583E4" w14:textId="77777777" w:rsidR="00FD2899" w:rsidRDefault="0075434A" w:rsidP="00FD2899">
      <w:pPr>
        <w:pStyle w:val="Heading4"/>
        <w:spacing w:after="0"/>
      </w:pPr>
      <w:r w:rsidRPr="00B068A2">
        <w:t xml:space="preserve">Professor Emeritus </w:t>
      </w:r>
      <w:proofErr w:type="spellStart"/>
      <w:r w:rsidRPr="00B068A2">
        <w:t>Vitit</w:t>
      </w:r>
      <w:proofErr w:type="spellEnd"/>
      <w:r w:rsidRPr="00B068A2">
        <w:t xml:space="preserve"> </w:t>
      </w:r>
      <w:proofErr w:type="spellStart"/>
      <w:r w:rsidRPr="00B068A2">
        <w:t>Muntarbhorn</w:t>
      </w:r>
      <w:proofErr w:type="spellEnd"/>
    </w:p>
    <w:p w14:paraId="22E3C975" w14:textId="7BF0D9E8" w:rsidR="0075434A" w:rsidRPr="00FD2899" w:rsidRDefault="0075434A" w:rsidP="00FD2899">
      <w:pPr>
        <w:spacing w:before="0"/>
        <w:rPr>
          <w:b/>
          <w:bCs/>
          <w:i/>
        </w:rPr>
      </w:pPr>
      <w:r w:rsidRPr="00FD2899">
        <w:rPr>
          <w:i/>
        </w:rPr>
        <w:t>UN Independent Expert on Protection Against Violence and Discrimination based on Sexual Orientation and Gender Identity</w:t>
      </w:r>
      <w:r w:rsidR="00F3764F">
        <w:rPr>
          <w:i/>
        </w:rPr>
        <w:t xml:space="preserve"> </w:t>
      </w:r>
    </w:p>
    <w:p w14:paraId="17B44BEC" w14:textId="77777777" w:rsidR="0075434A" w:rsidRPr="00B068A2" w:rsidRDefault="0075434A" w:rsidP="00062345">
      <w:proofErr w:type="spellStart"/>
      <w:r w:rsidRPr="00B068A2">
        <w:t>Vitit</w:t>
      </w:r>
      <w:proofErr w:type="spellEnd"/>
      <w:r w:rsidRPr="00B068A2">
        <w:t xml:space="preserve"> was designated in September 2016 as the first UN Independent Expert on violence and discrimination based on sexual orientation and gender identity by the Human Rights Council. </w:t>
      </w:r>
      <w:proofErr w:type="spellStart"/>
      <w:r w:rsidRPr="00B068A2">
        <w:t>Vitit</w:t>
      </w:r>
      <w:proofErr w:type="spellEnd"/>
      <w:r w:rsidRPr="00B068A2">
        <w:t xml:space="preserve"> is an international law Professor. He was educated in the United Kingdom obtaining his </w:t>
      </w:r>
      <w:r w:rsidRPr="00B068A2">
        <w:lastRenderedPageBreak/>
        <w:t xml:space="preserve">undergraduate and graduate law degrees from Oxford University. He also holds a degree on European law from the Free University of Brussels. He is currently a Professor Emeritus of law at the </w:t>
      </w:r>
      <w:proofErr w:type="spellStart"/>
      <w:r w:rsidRPr="00B068A2">
        <w:t>Chulalongkorn</w:t>
      </w:r>
      <w:proofErr w:type="spellEnd"/>
      <w:r w:rsidRPr="00B068A2">
        <w:t xml:space="preserve"> University in Bangkok, having taught international law, human rights, the law of regional organ</w:t>
      </w:r>
      <w:r>
        <w:t>is</w:t>
      </w:r>
      <w:r w:rsidRPr="00B068A2">
        <w:t xml:space="preserve">ations, migration and refugee law, child rights, international humanitarian law and European Union law. He was awarded the UNESCO Human Rights Education Prize in 2004. </w:t>
      </w:r>
    </w:p>
    <w:p w14:paraId="7AD15BF8" w14:textId="77777777" w:rsidR="0075434A" w:rsidRPr="00B068A2" w:rsidRDefault="0075434A" w:rsidP="00062345">
      <w:proofErr w:type="spellStart"/>
      <w:r w:rsidRPr="00B068A2">
        <w:t>Vitit</w:t>
      </w:r>
      <w:proofErr w:type="spellEnd"/>
      <w:r w:rsidRPr="00B068A2">
        <w:t xml:space="preserve"> has served on many United Nations bodies. He was formally the United Nations Special Rapporteur on the situation of human rights in the Democratic People’s Republic of Korea. He has also been Special Rapporteur of the UN Commission on Human Rights on the Sale of Children, Child Prostitution and Child Pornography. He was the Chair of the International Commission of Inquiry on the Ivory Coast in 2011 and was one of the Commissioners of the Independent International Commission of inquiry on Syria from 2012 to 2016. </w:t>
      </w:r>
      <w:proofErr w:type="spellStart"/>
      <w:r w:rsidRPr="00B068A2">
        <w:t>Vitit</w:t>
      </w:r>
      <w:proofErr w:type="spellEnd"/>
      <w:r w:rsidRPr="00B068A2">
        <w:t xml:space="preserve"> has extensive experience in research, policy development and advocacy in the field of sexual orientation and gender identity. He was the Co-Chairperson of the drafting committee of the Yogyakarta Principles on the Application of International Human Rights Law in relation to sexual orientation and gender identity in 2006. Recently, he was on the Being LGBTI in Asia Regional Advisory Board. He is the author of many publications on human rights issues, including sexual orientation and gender identity. </w:t>
      </w:r>
    </w:p>
    <w:p w14:paraId="0E0C88AD" w14:textId="088719EB" w:rsidR="00FD2899" w:rsidRDefault="0075434A" w:rsidP="00FD2899">
      <w:pPr>
        <w:pStyle w:val="Heading4"/>
        <w:spacing w:after="0"/>
      </w:pPr>
      <w:r w:rsidRPr="00B068A2">
        <w:t xml:space="preserve">Arvind </w:t>
      </w:r>
      <w:proofErr w:type="spellStart"/>
      <w:r w:rsidRPr="00B068A2">
        <w:t>Narrain</w:t>
      </w:r>
      <w:proofErr w:type="spellEnd"/>
    </w:p>
    <w:p w14:paraId="4CC244FC" w14:textId="0E6EE772" w:rsidR="0075434A" w:rsidRPr="00FD2899" w:rsidRDefault="0075434A" w:rsidP="00FD2899">
      <w:pPr>
        <w:spacing w:before="0"/>
        <w:rPr>
          <w:b/>
          <w:bCs/>
          <w:i/>
        </w:rPr>
      </w:pPr>
      <w:r w:rsidRPr="00FD2899">
        <w:rPr>
          <w:i/>
        </w:rPr>
        <w:t>Geneva Director of Arc International</w:t>
      </w:r>
      <w:r w:rsidRPr="00FD2899">
        <w:rPr>
          <w:b/>
          <w:bCs/>
          <w:i/>
        </w:rPr>
        <w:t xml:space="preserve"> </w:t>
      </w:r>
    </w:p>
    <w:p w14:paraId="53DD562E" w14:textId="17689840" w:rsidR="0075434A" w:rsidRPr="00B068A2" w:rsidRDefault="0075434A" w:rsidP="00062345">
      <w:r w:rsidRPr="00B068A2">
        <w:t>Arvind is the Geneva Director of Arc International which advocates for the right to be free from violence and discrimination on grounds of sexual orientation, gender identity and intersex status at the level of international law and policy.</w:t>
      </w:r>
      <w:r w:rsidR="00F3764F">
        <w:t xml:space="preserve"> </w:t>
      </w:r>
      <w:r w:rsidRPr="00B068A2">
        <w:t xml:space="preserve">Prior to being at Arc, Arvind was a founding member of the Alternative Law Forum in Bangalore, India which is </w:t>
      </w:r>
      <w:proofErr w:type="gramStart"/>
      <w:r w:rsidRPr="00B068A2">
        <w:t>a human rights</w:t>
      </w:r>
      <w:proofErr w:type="gramEnd"/>
      <w:r w:rsidRPr="00B068A2">
        <w:t xml:space="preserve"> lawyering collective and where he worked from 2002 to 2014. </w:t>
      </w:r>
    </w:p>
    <w:p w14:paraId="4FB1C7F8" w14:textId="77777777" w:rsidR="00FD2899" w:rsidRDefault="0075434A" w:rsidP="00FD2899">
      <w:pPr>
        <w:pStyle w:val="Heading4"/>
        <w:spacing w:after="0"/>
      </w:pPr>
      <w:r w:rsidRPr="00B068A2">
        <w:t>Karen S Gomez-</w:t>
      </w:r>
      <w:proofErr w:type="spellStart"/>
      <w:r w:rsidRPr="00B068A2">
        <w:t>Dumpit</w:t>
      </w:r>
      <w:proofErr w:type="spellEnd"/>
    </w:p>
    <w:p w14:paraId="6D400C5B" w14:textId="21FFD579" w:rsidR="0075434A" w:rsidRPr="00FD2899" w:rsidRDefault="0075434A" w:rsidP="00FD2899">
      <w:pPr>
        <w:spacing w:before="0"/>
        <w:rPr>
          <w:b/>
          <w:bCs/>
          <w:i/>
        </w:rPr>
      </w:pPr>
      <w:r w:rsidRPr="00FD2899">
        <w:rPr>
          <w:i/>
        </w:rPr>
        <w:t>Commissioner, Commission on Human Rights, Philippines</w:t>
      </w:r>
      <w:r w:rsidRPr="00FD2899">
        <w:rPr>
          <w:b/>
          <w:bCs/>
          <w:i/>
        </w:rPr>
        <w:t xml:space="preserve"> </w:t>
      </w:r>
    </w:p>
    <w:p w14:paraId="4D27039B" w14:textId="77777777" w:rsidR="0075434A" w:rsidRPr="00B068A2" w:rsidRDefault="0075434A" w:rsidP="00062345">
      <w:r w:rsidRPr="00B068A2">
        <w:t xml:space="preserve">Karen was appointed as Commissioner to the Commission on Human Rights (CHR) on Human Rights in June of 2015 and will serve until 2022. In government service twenty-five years, Karen has worked at the CHR since September of 1993 when she joined the Office of Chairperson </w:t>
      </w:r>
      <w:proofErr w:type="spellStart"/>
      <w:r w:rsidRPr="00B068A2">
        <w:t>Ordoñez</w:t>
      </w:r>
      <w:proofErr w:type="spellEnd"/>
      <w:r w:rsidRPr="00B068A2">
        <w:t xml:space="preserve">. In </w:t>
      </w:r>
      <w:proofErr w:type="gramStart"/>
      <w:r w:rsidRPr="00B068A2">
        <w:t>1994</w:t>
      </w:r>
      <w:proofErr w:type="gramEnd"/>
      <w:r w:rsidRPr="00B068A2">
        <w:t xml:space="preserve"> she became the first Director of the CHR’s Child Right’s </w:t>
      </w:r>
      <w:proofErr w:type="spellStart"/>
      <w:r w:rsidRPr="00B068A2">
        <w:t>Center</w:t>
      </w:r>
      <w:proofErr w:type="spellEnd"/>
      <w:r w:rsidRPr="00B068A2">
        <w:t xml:space="preserve"> (CRC). That same year, Karen earned her first Masters in Public Management from the Development Academy of the Philippines. After nine years with the CRC, Karen went on to serve as Director of the Government Linkages Office where she was the CHR’s Focal Person on Human Rights Defenders, Older Persons, Migrant Workers (from 2004 to 2009) and was the Focal Person in the Community Based Dialogues Project with the Armed Forces of the Philippines (AFP), Philippine National Police (PNP), Philippine Alliance of Human Rights Advocate (PAHRA), </w:t>
      </w:r>
      <w:proofErr w:type="spellStart"/>
      <w:r w:rsidRPr="00B068A2">
        <w:t>Hanns</w:t>
      </w:r>
      <w:proofErr w:type="spellEnd"/>
      <w:r w:rsidRPr="00B068A2">
        <w:t xml:space="preserve"> Seidel Foundation and </w:t>
      </w:r>
      <w:proofErr w:type="spellStart"/>
      <w:r w:rsidRPr="00B068A2">
        <w:t>Ninoy</w:t>
      </w:r>
      <w:proofErr w:type="spellEnd"/>
      <w:r w:rsidRPr="00B068A2">
        <w:t xml:space="preserve"> &amp; Cory Aquino Foundation. A Career Executive Service Office Rank IV since 1998, Karen earned her second Master of Science in Human Rights from the London School Economics and Political Science in 2004. She also was the member of various Legislative Technical Working Groups including R.A. 9346: An Act Prohibiting the Imposition of the Death Penalty and R.A. 9745: Anti Torture Law among others. She also took the lead in several human rights campaigns on issues such as those relating to Children in Situations of Armed Conflict and Children in Conflict with the Law. Between 2007 and 2012, Karen has authored several papers on various rights issues the most recent of which is the ‘Application of the Human Rights Based Approach: An NHRI Perspective’. Karen’s areas of special</w:t>
      </w:r>
      <w:r>
        <w:t>is</w:t>
      </w:r>
      <w:r w:rsidRPr="00B068A2">
        <w:t xml:space="preserve">ation are non-discrimination, right to life, restorative justice, human rights based approaches to governance, child rights, persons with disabilities, </w:t>
      </w:r>
      <w:r w:rsidRPr="00B068A2">
        <w:lastRenderedPageBreak/>
        <w:t xml:space="preserve">persons deprived of liberty, migrant workers, human rights defenders, rights of older persons and LGBT’s. </w:t>
      </w:r>
    </w:p>
    <w:p w14:paraId="6EAD3E99" w14:textId="77777777" w:rsidR="00FD2899" w:rsidRDefault="0075434A" w:rsidP="00FD2899">
      <w:pPr>
        <w:pStyle w:val="Heading4"/>
        <w:spacing w:after="0"/>
      </w:pPr>
      <w:r w:rsidRPr="00B068A2">
        <w:t xml:space="preserve">Sunil </w:t>
      </w:r>
      <w:proofErr w:type="spellStart"/>
      <w:r w:rsidRPr="00B068A2">
        <w:t>Bab</w:t>
      </w:r>
      <w:r>
        <w:t>u</w:t>
      </w:r>
      <w:proofErr w:type="spellEnd"/>
      <w:r w:rsidRPr="00B068A2">
        <w:t xml:space="preserve"> Pant</w:t>
      </w:r>
    </w:p>
    <w:p w14:paraId="6CC23795" w14:textId="0CF9AAC6" w:rsidR="0075434A" w:rsidRPr="00FD2899" w:rsidRDefault="00FD2899" w:rsidP="00FD2899">
      <w:pPr>
        <w:spacing w:before="0"/>
        <w:rPr>
          <w:b/>
          <w:bCs/>
          <w:i/>
        </w:rPr>
      </w:pPr>
      <w:r w:rsidRPr="00FD2899">
        <w:rPr>
          <w:i/>
        </w:rPr>
        <w:t>F</w:t>
      </w:r>
      <w:r w:rsidR="0075434A" w:rsidRPr="00FD2899">
        <w:rPr>
          <w:i/>
        </w:rPr>
        <w:t>ormer Member of Parliament and Founder of the Blue Diamond Society</w:t>
      </w:r>
      <w:r w:rsidR="0075434A" w:rsidRPr="00FD2899">
        <w:rPr>
          <w:b/>
          <w:bCs/>
          <w:i/>
        </w:rPr>
        <w:t xml:space="preserve"> </w:t>
      </w:r>
    </w:p>
    <w:p w14:paraId="71DB4D01" w14:textId="3AE337BF" w:rsidR="0075434A" w:rsidRPr="00B068A2" w:rsidRDefault="0075434A" w:rsidP="00062345">
      <w:r w:rsidRPr="00B068A2">
        <w:t>Sunil the first openly gay politician (Member of Parliament and Constituent assembly from 2008</w:t>
      </w:r>
      <w:r w:rsidR="00F3764F">
        <w:t>–</w:t>
      </w:r>
      <w:r w:rsidRPr="00B068A2">
        <w:t xml:space="preserve">12) in Nepal, and the head of the Blue Diamond Society (BDS) – the only gay rights group in Nepal. The NGO works on human rights, sexual health and HIV/AIDS for sexual/gender minorities in Nepal. Further, Sunil conducted a study on the reasons, extent and impact of social exclusion of sexual minorities in Nepal, which resulted in a report in 2005. He has also trained Nepalese media on LGBTI issues over the past 8 years, as well as conducted sensitisation trainings for police and security forces in Nepal. Sunil and BDS also offer training to local activists and organisations in order to strengthen their capacity to document human rights abuses and conduct successful advocacy campaigns. Sunil is also one the 29 experts who formulated Yogyakarta Principles. Challenges, Barriers, Limitations of the Yogyakarta Principles; and How Can it be Strengthened for the Future? </w:t>
      </w:r>
    </w:p>
    <w:p w14:paraId="6119314A" w14:textId="77777777" w:rsidR="00FD2899" w:rsidRDefault="0075434A" w:rsidP="00FD2899">
      <w:pPr>
        <w:pStyle w:val="Heading4"/>
      </w:pPr>
      <w:proofErr w:type="spellStart"/>
      <w:r w:rsidRPr="00B068A2">
        <w:t>Honorable</w:t>
      </w:r>
      <w:proofErr w:type="spellEnd"/>
      <w:r w:rsidRPr="00B068A2">
        <w:t xml:space="preserve"> Michael Kirby AC CMG</w:t>
      </w:r>
    </w:p>
    <w:p w14:paraId="237BC514" w14:textId="668690F6" w:rsidR="0075434A" w:rsidRPr="00B068A2" w:rsidRDefault="0075434A" w:rsidP="00062345">
      <w:r w:rsidRPr="00B068A2">
        <w:t>Michael Kirby is an international jurist, educator and former judge. He served as a Deputy President of the Australian Conciliation and Arbitration Commission (1975</w:t>
      </w:r>
      <w:r w:rsidR="00F3764F">
        <w:t>–</w:t>
      </w:r>
      <w:r w:rsidRPr="00B068A2">
        <w:t>83); Chairman of the Australian Law Reform Commission (1975</w:t>
      </w:r>
      <w:r w:rsidR="00F3764F">
        <w:t>–</w:t>
      </w:r>
      <w:r w:rsidRPr="00B068A2">
        <w:t>84); Judge of the Federal Court of Australia (1983</w:t>
      </w:r>
      <w:r w:rsidR="00F3764F">
        <w:t>–8</w:t>
      </w:r>
      <w:r w:rsidRPr="00B068A2">
        <w:t>4); President of the New South Wales Court of Appeal (1984</w:t>
      </w:r>
      <w:r w:rsidR="00F3764F">
        <w:t>–</w:t>
      </w:r>
      <w:r w:rsidRPr="00B068A2">
        <w:t>96); President of the Court of Appeal of Solomon Islands (1995</w:t>
      </w:r>
      <w:r w:rsidR="00F3764F">
        <w:t>–</w:t>
      </w:r>
      <w:r w:rsidRPr="00B068A2">
        <w:t>96) and Justice of the High Court of Australia (1996</w:t>
      </w:r>
      <w:r w:rsidR="00F3764F">
        <w:t>–</w:t>
      </w:r>
      <w:r w:rsidRPr="00B068A2">
        <w:t>2009). He has undertaken many international activities for the United Nations, the Commonwealth Secretariat, the OECD and the Global Fund Against AIDS, Tuberculosis and Malaria. He has also worked in civil society, being elected President of the International Commission of Jurists (1995</w:t>
      </w:r>
      <w:r w:rsidR="00F3764F">
        <w:t>–9</w:t>
      </w:r>
      <w:r w:rsidRPr="00B068A2">
        <w:t>8).</w:t>
      </w:r>
      <w:r w:rsidR="00F3764F">
        <w:t xml:space="preserve"> </w:t>
      </w:r>
      <w:r w:rsidRPr="00B068A2">
        <w:t>His recent international activities have included member of the Eminent Persons Group on the Future of the Commonwealth of Nations (2010</w:t>
      </w:r>
      <w:r w:rsidR="00F3764F">
        <w:t>–</w:t>
      </w:r>
      <w:r w:rsidRPr="00B068A2">
        <w:t>11); Commissioner of the UNDP Global Commission on HIV and the Law (2011</w:t>
      </w:r>
      <w:r w:rsidR="00F3764F">
        <w:t>–</w:t>
      </w:r>
      <w:r w:rsidRPr="00B068A2">
        <w:t>12); Chairman of the UN Commission of Inquiry on DPRK (North Korea) (2013</w:t>
      </w:r>
      <w:r w:rsidR="00F3764F">
        <w:t>–</w:t>
      </w:r>
      <w:r w:rsidRPr="00B068A2">
        <w:t xml:space="preserve">14); and Member of the UN Secretary-General’s </w:t>
      </w:r>
      <w:proofErr w:type="gramStart"/>
      <w:r w:rsidRPr="00B068A2">
        <w:t>High Level</w:t>
      </w:r>
      <w:proofErr w:type="gramEnd"/>
      <w:r w:rsidRPr="00B068A2">
        <w:t xml:space="preserve"> Panel on Access to Essential Healthcare (2015</w:t>
      </w:r>
      <w:r w:rsidR="00F3764F">
        <w:t>–</w:t>
      </w:r>
      <w:r w:rsidRPr="00B068A2">
        <w:t>16). He is also heavily engaged in international arbitrations; domestic mediations; and teaching law.</w:t>
      </w:r>
      <w:r w:rsidR="00F3764F">
        <w:t xml:space="preserve"> </w:t>
      </w:r>
      <w:r w:rsidRPr="00B068A2">
        <w:t>He is Honorary Professor at 12 Australian and overseas universities.</w:t>
      </w:r>
      <w:r w:rsidR="00F3764F">
        <w:t xml:space="preserve"> </w:t>
      </w:r>
    </w:p>
    <w:p w14:paraId="207BC6D5" w14:textId="77777777" w:rsidR="00FD2899" w:rsidRDefault="0075434A" w:rsidP="00FD2899">
      <w:pPr>
        <w:pStyle w:val="Heading4"/>
        <w:spacing w:after="0"/>
      </w:pPr>
      <w:r w:rsidRPr="00B068A2">
        <w:t>Jean Chong</w:t>
      </w:r>
    </w:p>
    <w:p w14:paraId="5E4459D8" w14:textId="1ABCAEEF" w:rsidR="0075434A" w:rsidRPr="00FD2899" w:rsidRDefault="0075434A" w:rsidP="00FD2899">
      <w:pPr>
        <w:spacing w:before="0"/>
        <w:rPr>
          <w:b/>
          <w:bCs/>
          <w:i/>
        </w:rPr>
      </w:pPr>
      <w:r w:rsidRPr="00FD2899">
        <w:rPr>
          <w:i/>
        </w:rPr>
        <w:t>Programme Field Coordinator, Outright Action International</w:t>
      </w:r>
      <w:r w:rsidRPr="00FD2899">
        <w:rPr>
          <w:b/>
          <w:bCs/>
          <w:i/>
        </w:rPr>
        <w:t xml:space="preserve"> </w:t>
      </w:r>
    </w:p>
    <w:p w14:paraId="7F379B8A" w14:textId="2B38E737" w:rsidR="0075434A" w:rsidRPr="00B068A2" w:rsidRDefault="0075434A" w:rsidP="00062345">
      <w:r w:rsidRPr="00B068A2">
        <w:t xml:space="preserve">Jean Chong is currently a part of the steering committee of the ASEAN SOGIE Caucus, a regional network of South East Asia LGBTIQ groups lobbying for the inclusion of LGBTIQ rights in the ASEAN Human Rights Mechanisms. Jean is also the president of a LBT group in Singapore named </w:t>
      </w:r>
      <w:proofErr w:type="spellStart"/>
      <w:r w:rsidRPr="00B068A2">
        <w:t>Sayoni</w:t>
      </w:r>
      <w:proofErr w:type="spellEnd"/>
      <w:r w:rsidRPr="00B068A2">
        <w:t xml:space="preserve">, as well as a part of the Asia team for </w:t>
      </w:r>
      <w:proofErr w:type="spellStart"/>
      <w:r w:rsidRPr="00B068A2">
        <w:t>OutRight</w:t>
      </w:r>
      <w:proofErr w:type="spellEnd"/>
      <w:r w:rsidRPr="00B068A2">
        <w:t xml:space="preserve"> Action International.</w:t>
      </w:r>
      <w:r w:rsidR="00F3764F">
        <w:t xml:space="preserve"> </w:t>
      </w:r>
      <w:r w:rsidRPr="00B068A2">
        <w:t>Jean holds a Master's degree in Human Rights and Democrat</w:t>
      </w:r>
      <w:r>
        <w:t>is</w:t>
      </w:r>
      <w:r w:rsidRPr="00B068A2">
        <w:t xml:space="preserve">ation. </w:t>
      </w:r>
    </w:p>
    <w:p w14:paraId="538FD067" w14:textId="77777777" w:rsidR="00FD2899" w:rsidRDefault="0075434A" w:rsidP="00FD2899">
      <w:pPr>
        <w:pStyle w:val="Heading4"/>
        <w:spacing w:after="0"/>
      </w:pPr>
      <w:proofErr w:type="spellStart"/>
      <w:r w:rsidRPr="00B068A2">
        <w:t>Vaialia</w:t>
      </w:r>
      <w:proofErr w:type="spellEnd"/>
      <w:r w:rsidRPr="00B068A2">
        <w:t xml:space="preserve"> </w:t>
      </w:r>
      <w:proofErr w:type="spellStart"/>
      <w:r w:rsidRPr="00B068A2">
        <w:t>Iosua</w:t>
      </w:r>
      <w:proofErr w:type="spellEnd"/>
    </w:p>
    <w:p w14:paraId="0CF96A21" w14:textId="37EF72EC" w:rsidR="0075434A" w:rsidRPr="00FD2899" w:rsidRDefault="0075434A" w:rsidP="00FD2899">
      <w:pPr>
        <w:spacing w:before="0"/>
        <w:rPr>
          <w:b/>
          <w:bCs/>
          <w:i/>
        </w:rPr>
      </w:pPr>
      <w:r w:rsidRPr="00FD2899">
        <w:rPr>
          <w:i/>
        </w:rPr>
        <w:t xml:space="preserve">Co-founder/Former Vice President, Samoa </w:t>
      </w:r>
      <w:proofErr w:type="spellStart"/>
      <w:r w:rsidRPr="00FD2899">
        <w:rPr>
          <w:i/>
        </w:rPr>
        <w:t>Faafafine</w:t>
      </w:r>
      <w:proofErr w:type="spellEnd"/>
      <w:r w:rsidRPr="00FD2899">
        <w:rPr>
          <w:i/>
        </w:rPr>
        <w:t xml:space="preserve"> Association </w:t>
      </w:r>
      <w:proofErr w:type="spellStart"/>
      <w:r w:rsidRPr="00FD2899">
        <w:rPr>
          <w:i/>
        </w:rPr>
        <w:t>Inc</w:t>
      </w:r>
      <w:proofErr w:type="spellEnd"/>
      <w:r w:rsidRPr="00FD2899">
        <w:rPr>
          <w:b/>
          <w:bCs/>
          <w:i/>
        </w:rPr>
        <w:t xml:space="preserve"> </w:t>
      </w:r>
    </w:p>
    <w:p w14:paraId="57693CAB" w14:textId="314524DC" w:rsidR="0075434A" w:rsidRPr="00B068A2" w:rsidRDefault="0075434A" w:rsidP="00062345">
      <w:proofErr w:type="spellStart"/>
      <w:r w:rsidRPr="00B068A2">
        <w:t>Vaialia</w:t>
      </w:r>
      <w:proofErr w:type="spellEnd"/>
      <w:r w:rsidRPr="00B068A2">
        <w:t xml:space="preserve"> </w:t>
      </w:r>
      <w:proofErr w:type="spellStart"/>
      <w:r w:rsidRPr="00B068A2">
        <w:t>Iosua</w:t>
      </w:r>
      <w:proofErr w:type="spellEnd"/>
      <w:r w:rsidRPr="00B068A2">
        <w:t xml:space="preserve"> is a proud </w:t>
      </w:r>
      <w:proofErr w:type="spellStart"/>
      <w:r w:rsidRPr="00B068A2">
        <w:t>Fa’afafine</w:t>
      </w:r>
      <w:proofErr w:type="spellEnd"/>
      <w:r w:rsidRPr="00B068A2">
        <w:t xml:space="preserve"> from Samoa. She is one of founding member for Samoa </w:t>
      </w:r>
      <w:proofErr w:type="spellStart"/>
      <w:r w:rsidRPr="00B068A2">
        <w:t>Faafafine</w:t>
      </w:r>
      <w:proofErr w:type="spellEnd"/>
      <w:r w:rsidRPr="00B068A2">
        <w:t xml:space="preserve"> Association and has been actively engaged and involved for the LGBTI</w:t>
      </w:r>
      <w:r w:rsidR="006F368D">
        <w:t>/</w:t>
      </w:r>
      <w:proofErr w:type="spellStart"/>
      <w:r w:rsidRPr="00B068A2">
        <w:t>Fa’afafine</w:t>
      </w:r>
      <w:proofErr w:type="spellEnd"/>
      <w:r w:rsidRPr="00B068A2">
        <w:t xml:space="preserve"> activism in Samoa and the region for the last 10 years. </w:t>
      </w:r>
      <w:proofErr w:type="spellStart"/>
      <w:r w:rsidRPr="00B068A2">
        <w:t>Vaialia</w:t>
      </w:r>
      <w:proofErr w:type="spellEnd"/>
      <w:r w:rsidRPr="00B068A2">
        <w:t xml:space="preserve"> studied Development Studies and Education and proceeded to work for the Ministry of Women Community and Social Development for the last 10 years as a Principal Community Development Officer. With </w:t>
      </w:r>
      <w:r w:rsidRPr="00B068A2">
        <w:lastRenderedPageBreak/>
        <w:t xml:space="preserve">passion and commitment in human rights work, she is currently studying towards completion of her Master’s in Human Rights and Democratisation at </w:t>
      </w:r>
      <w:proofErr w:type="spellStart"/>
      <w:r w:rsidRPr="00B068A2">
        <w:t>Mahidol</w:t>
      </w:r>
      <w:proofErr w:type="spellEnd"/>
      <w:r w:rsidRPr="00B068A2">
        <w:t xml:space="preserve"> University.</w:t>
      </w:r>
      <w:r w:rsidR="00F3764F">
        <w:t xml:space="preserve"> </w:t>
      </w:r>
      <w:proofErr w:type="spellStart"/>
      <w:r w:rsidRPr="00B068A2">
        <w:t>Vaialia</w:t>
      </w:r>
      <w:proofErr w:type="spellEnd"/>
      <w:r w:rsidRPr="00B068A2">
        <w:t xml:space="preserve"> is a researcher who is currently studying hate crime and human rights violations against transgender people in Samoa and Philippines. </w:t>
      </w:r>
    </w:p>
    <w:p w14:paraId="6B377A78" w14:textId="77777777" w:rsidR="00FD2899" w:rsidRDefault="0075434A" w:rsidP="00FD2899">
      <w:pPr>
        <w:pStyle w:val="Heading4"/>
        <w:spacing w:after="0"/>
      </w:pPr>
      <w:r w:rsidRPr="00B068A2">
        <w:t xml:space="preserve">Mauro Cabral </w:t>
      </w:r>
      <w:proofErr w:type="spellStart"/>
      <w:r w:rsidRPr="00B068A2">
        <w:t>Grinspan</w:t>
      </w:r>
      <w:proofErr w:type="spellEnd"/>
    </w:p>
    <w:p w14:paraId="7B494D4D" w14:textId="0B0F194A" w:rsidR="0075434A" w:rsidRPr="00FD2899" w:rsidRDefault="0075434A" w:rsidP="00FD2899">
      <w:pPr>
        <w:spacing w:before="0"/>
        <w:rPr>
          <w:b/>
          <w:bCs/>
          <w:i/>
        </w:rPr>
      </w:pPr>
      <w:r w:rsidRPr="00FD2899">
        <w:rPr>
          <w:i/>
        </w:rPr>
        <w:t>Executive Director, Global Action for Trans Equality</w:t>
      </w:r>
      <w:r w:rsidRPr="00FD2899">
        <w:rPr>
          <w:b/>
          <w:bCs/>
          <w:i/>
        </w:rPr>
        <w:t xml:space="preserve"> </w:t>
      </w:r>
    </w:p>
    <w:p w14:paraId="4627735D" w14:textId="0C923F3C" w:rsidR="0075434A" w:rsidRPr="00B068A2" w:rsidRDefault="0075434A" w:rsidP="00062345">
      <w:r w:rsidRPr="00B068A2">
        <w:t xml:space="preserve">Mauro is the Executive Director of Global Action for Trans Equality (GATE) and the coordinator of </w:t>
      </w:r>
      <w:proofErr w:type="spellStart"/>
      <w:r w:rsidRPr="00B068A2">
        <w:t>Justicia</w:t>
      </w:r>
      <w:proofErr w:type="spellEnd"/>
      <w:r w:rsidRPr="00B068A2">
        <w:t xml:space="preserve"> Intersex. In </w:t>
      </w:r>
      <w:proofErr w:type="gramStart"/>
      <w:r w:rsidRPr="00B068A2">
        <w:t>2006</w:t>
      </w:r>
      <w:proofErr w:type="gramEnd"/>
      <w:r w:rsidRPr="00B068A2">
        <w:t xml:space="preserve"> he participated in the development of the Yogyakarta Principles and he is currently involved in its revision process. He advocates, writes, translates, researches and teaches on gender identity, gender expression and bodily diversity issues, as well as on intersecting issues between biotechnology and the law. In 2015 Mauro received the Bob </w:t>
      </w:r>
      <w:proofErr w:type="spellStart"/>
      <w:r w:rsidRPr="00B068A2">
        <w:t>Hepple</w:t>
      </w:r>
      <w:proofErr w:type="spellEnd"/>
      <w:r w:rsidRPr="00B068A2">
        <w:t xml:space="preserve"> Equality Award.</w:t>
      </w:r>
      <w:r w:rsidR="00F3764F">
        <w:t xml:space="preserve"> </w:t>
      </w:r>
      <w:r w:rsidRPr="00B068A2">
        <w:t>He lives in Buenos Aires, Argentina.</w:t>
      </w:r>
      <w:r w:rsidR="00F3764F">
        <w:t xml:space="preserve"> </w:t>
      </w:r>
    </w:p>
    <w:p w14:paraId="7C0808C0" w14:textId="77777777" w:rsidR="00FD2899" w:rsidRDefault="0075434A" w:rsidP="00FD2899">
      <w:pPr>
        <w:pStyle w:val="Heading4"/>
        <w:spacing w:after="0"/>
      </w:pPr>
      <w:r w:rsidRPr="00B068A2">
        <w:t>Sonia Onufer Corrêa</w:t>
      </w:r>
    </w:p>
    <w:p w14:paraId="7281A24E" w14:textId="6A1FAC5F" w:rsidR="0075434A" w:rsidRPr="00FD2899" w:rsidRDefault="0075434A" w:rsidP="00FD2899">
      <w:pPr>
        <w:spacing w:before="0"/>
        <w:rPr>
          <w:b/>
          <w:bCs/>
          <w:i/>
        </w:rPr>
      </w:pPr>
      <w:r w:rsidRPr="00FD2899">
        <w:rPr>
          <w:i/>
        </w:rPr>
        <w:t>Co-chair of Sexuality Policy Watch</w:t>
      </w:r>
      <w:r w:rsidRPr="00FD2899">
        <w:rPr>
          <w:b/>
          <w:bCs/>
          <w:i/>
        </w:rPr>
        <w:t xml:space="preserve"> </w:t>
      </w:r>
    </w:p>
    <w:p w14:paraId="723C7D46" w14:textId="27815431" w:rsidR="0075434A" w:rsidRPr="00B068A2" w:rsidRDefault="0075434A" w:rsidP="00062345">
      <w:r w:rsidRPr="00B068A2">
        <w:t>Since the late 1970´s Sonia has been involved in research and advocacy related to gender equality, health and sexuality.</w:t>
      </w:r>
      <w:r w:rsidR="00F3764F">
        <w:t xml:space="preserve"> </w:t>
      </w:r>
      <w:r w:rsidRPr="00B068A2">
        <w:t>Between 1992 and 2009 she had been the research coordinator for sexual and reproductive health and rights at the Development Alternatives with Women for a new Era (DAWN)– a southern hemisphere feminist network.</w:t>
      </w:r>
      <w:r w:rsidR="00F3764F">
        <w:t xml:space="preserve"> </w:t>
      </w:r>
      <w:r w:rsidRPr="00B068A2">
        <w:t xml:space="preserve">In that capacity, she closely followed United Nations negotiations relating to gender and sexuality related matters: </w:t>
      </w:r>
      <w:proofErr w:type="gramStart"/>
      <w:r w:rsidRPr="00B068A2">
        <w:t>the</w:t>
      </w:r>
      <w:proofErr w:type="gramEnd"/>
      <w:r w:rsidRPr="00B068A2">
        <w:t xml:space="preserve"> International Conference on Population and Development (ICPD – Cairo 1994), the IV World Conference on Women (IV WCW –Beijing, 1995) and the various review processes of these conferences.</w:t>
      </w:r>
      <w:r w:rsidR="00F3764F">
        <w:t xml:space="preserve"> </w:t>
      </w:r>
      <w:r w:rsidRPr="00B068A2">
        <w:t>Since 2002, and along with Richard Parker, Sonia co-chairs Sexuality Policy Watch a global forum comprised of researchers and activists engaged in the analyses of global trends in sexuality politics. In 2006, she co-chaired the expert meeting that elaborated the Yogyakarta Principles for the Application of International Human Rights Law in relation to Sexual Orientation and Gender Identity.</w:t>
      </w:r>
      <w:r w:rsidR="00F3764F">
        <w:t xml:space="preserve"> </w:t>
      </w:r>
      <w:r w:rsidRPr="00B068A2">
        <w:t xml:space="preserve">She has extensively published in Portuguese and English. This list includes, amongst others, Population and Reproductive Rights: Feminist Perspectives from the South (Zed Books, 1994) and Sexuality, Health and Human Rights co-authored with Richard Parker and Rosalind </w:t>
      </w:r>
      <w:proofErr w:type="spellStart"/>
      <w:r w:rsidRPr="00B068A2">
        <w:t>Petchesky</w:t>
      </w:r>
      <w:proofErr w:type="spellEnd"/>
      <w:r w:rsidRPr="00B068A2">
        <w:t xml:space="preserve"> (Routledge, 2008).</w:t>
      </w:r>
      <w:r w:rsidR="00F3764F">
        <w:t xml:space="preserve"> </w:t>
      </w:r>
      <w:r w:rsidRPr="00B068A2">
        <w:t xml:space="preserve">Amongst other academic engagements, she has been granted a </w:t>
      </w:r>
      <w:proofErr w:type="spellStart"/>
      <w:r w:rsidRPr="00B068A2">
        <w:t>Leverhulme</w:t>
      </w:r>
      <w:proofErr w:type="spellEnd"/>
      <w:r w:rsidRPr="00B068A2">
        <w:t xml:space="preserve"> professorship at the Gender Institute of the London School of Economics for 2016</w:t>
      </w:r>
      <w:r w:rsidR="00F3764F">
        <w:t>–</w:t>
      </w:r>
      <w:r w:rsidRPr="00B068A2">
        <w:t>2017.</w:t>
      </w:r>
      <w:r w:rsidR="00F3764F">
        <w:t xml:space="preserve"> </w:t>
      </w:r>
      <w:r w:rsidRPr="00B068A2">
        <w:t>Sonia has degree in Architecture and a postgraduate in Anthropology.</w:t>
      </w:r>
      <w:r w:rsidR="00F3764F">
        <w:t xml:space="preserve"> </w:t>
      </w:r>
      <w:r w:rsidRPr="00B068A2">
        <w:t>Sonia is Brazilian.</w:t>
      </w:r>
      <w:r w:rsidR="00F3764F">
        <w:t xml:space="preserve"> </w:t>
      </w:r>
    </w:p>
    <w:p w14:paraId="7F861250" w14:textId="77777777" w:rsidR="00FD2899" w:rsidRDefault="0075434A" w:rsidP="00FD2899">
      <w:pPr>
        <w:pStyle w:val="Heading4"/>
        <w:spacing w:after="0"/>
      </w:pPr>
      <w:r w:rsidRPr="00B068A2">
        <w:t>Midnight Poonkasetwattana</w:t>
      </w:r>
    </w:p>
    <w:p w14:paraId="159ED8D9" w14:textId="33A911A3" w:rsidR="0075434A" w:rsidRPr="00FD2899" w:rsidRDefault="0075434A" w:rsidP="00FD2899">
      <w:pPr>
        <w:spacing w:before="0"/>
        <w:rPr>
          <w:b/>
          <w:bCs/>
          <w:i/>
        </w:rPr>
      </w:pPr>
      <w:r w:rsidRPr="00FD2899">
        <w:rPr>
          <w:i/>
        </w:rPr>
        <w:t xml:space="preserve">Executive Director, APCOM Foundation </w:t>
      </w:r>
    </w:p>
    <w:p w14:paraId="09F1BE66" w14:textId="43E33C50" w:rsidR="0075434A" w:rsidRPr="00B068A2" w:rsidRDefault="0075434A" w:rsidP="00062345">
      <w:r w:rsidRPr="00B068A2">
        <w:t>Midnight is Executive Director of APCOM with many years of experience working in multi-sectorial partnerships with governments, donors and the United Nations. Midnight particularly enjoys working with community groups and civil society organisations to build their capacity to better promote the rights of gender and sexual minorities. Midnight is a member of various advisory and steering committees, including the global IDAHOT committee and the Freedom House’s Dignity for All.</w:t>
      </w:r>
      <w:r w:rsidR="00F3764F">
        <w:t xml:space="preserve"> </w:t>
      </w:r>
      <w:r w:rsidRPr="00B068A2">
        <w:t xml:space="preserve">Midnight obtained his Bachelor’s Degree in Development Studies from the University of East Anglia. Midnight completed his Masters in Globalisation and Development at the School of Oriental and African Studies through the University of London. </w:t>
      </w:r>
    </w:p>
    <w:p w14:paraId="59B81F19" w14:textId="77777777" w:rsidR="00FD2899" w:rsidRDefault="0075434A" w:rsidP="00FD2899">
      <w:pPr>
        <w:pStyle w:val="Heading4"/>
        <w:spacing w:after="0"/>
      </w:pPr>
      <w:r w:rsidRPr="00B068A2">
        <w:lastRenderedPageBreak/>
        <w:t>Nadika Nadja</w:t>
      </w:r>
    </w:p>
    <w:p w14:paraId="1A22000F" w14:textId="45B25EFB" w:rsidR="0075434A" w:rsidRPr="00FD2899" w:rsidRDefault="0075434A" w:rsidP="00FD2899">
      <w:pPr>
        <w:keepNext/>
        <w:spacing w:before="0"/>
        <w:rPr>
          <w:b/>
          <w:bCs/>
          <w:i/>
        </w:rPr>
      </w:pPr>
      <w:r w:rsidRPr="00FD2899">
        <w:rPr>
          <w:i/>
        </w:rPr>
        <w:t xml:space="preserve">Working Group Member, </w:t>
      </w:r>
      <w:proofErr w:type="spellStart"/>
      <w:r w:rsidRPr="00FD2899">
        <w:rPr>
          <w:i/>
        </w:rPr>
        <w:t>Sampoorna</w:t>
      </w:r>
      <w:proofErr w:type="spellEnd"/>
      <w:r w:rsidRPr="00FD2899">
        <w:rPr>
          <w:b/>
          <w:bCs/>
          <w:i/>
        </w:rPr>
        <w:t xml:space="preserve"> </w:t>
      </w:r>
    </w:p>
    <w:p w14:paraId="25691159" w14:textId="77777777" w:rsidR="0075434A" w:rsidRPr="00B068A2" w:rsidRDefault="0075434A" w:rsidP="00062345">
      <w:r w:rsidRPr="00B068A2">
        <w:t xml:space="preserve">Nadika is a non-binary writer and researcher with interests in history, archaeology, city and urban spaces, gender, and the internet. She is also a working group member of </w:t>
      </w:r>
      <w:proofErr w:type="spellStart"/>
      <w:r w:rsidRPr="00B068A2">
        <w:t>Sampoorna</w:t>
      </w:r>
      <w:proofErr w:type="spellEnd"/>
      <w:r w:rsidRPr="00B068A2">
        <w:t xml:space="preserve">, a network of trans and intersex Indians. </w:t>
      </w:r>
    </w:p>
    <w:p w14:paraId="78189069" w14:textId="77777777" w:rsidR="00FD2899" w:rsidRDefault="0075434A" w:rsidP="00FD2899">
      <w:pPr>
        <w:pStyle w:val="Heading4"/>
        <w:spacing w:after="0"/>
      </w:pPr>
      <w:r w:rsidRPr="00B068A2">
        <w:t>Hiker Chiu</w:t>
      </w:r>
    </w:p>
    <w:p w14:paraId="4ACB4B43" w14:textId="09CB5CE9" w:rsidR="0075434A" w:rsidRPr="00FD2899" w:rsidRDefault="0075434A" w:rsidP="00FD2899">
      <w:pPr>
        <w:spacing w:before="0"/>
        <w:rPr>
          <w:b/>
          <w:bCs/>
          <w:i/>
        </w:rPr>
      </w:pPr>
      <w:r w:rsidRPr="00FD2899">
        <w:rPr>
          <w:i/>
        </w:rPr>
        <w:t>Founder, OII Chinese</w:t>
      </w:r>
      <w:r w:rsidRPr="00FD2899">
        <w:rPr>
          <w:b/>
          <w:bCs/>
          <w:i/>
        </w:rPr>
        <w:t xml:space="preserve"> </w:t>
      </w:r>
    </w:p>
    <w:p w14:paraId="7BF0F127" w14:textId="142C2A10" w:rsidR="0075434A" w:rsidRPr="00062345" w:rsidRDefault="0075434A" w:rsidP="00062345">
      <w:r w:rsidRPr="00B068A2">
        <w:t>Hiker is an intersex human rights activist from Taiwan, the founder of OII-Chinese (2008) and Intersex Asia since 2013. OII-Chinese is an intersex-led organ</w:t>
      </w:r>
      <w:r>
        <w:t>is</w:t>
      </w:r>
      <w:r w:rsidRPr="00B068A2">
        <w:t>ation and a platform for Chinese-speaking intersex people to receive information, awareness, connection and peer support.</w:t>
      </w:r>
      <w:r w:rsidR="00F3764F">
        <w:t xml:space="preserve"> </w:t>
      </w:r>
      <w:r w:rsidRPr="00B068A2">
        <w:t>It is also an advocacy organ</w:t>
      </w:r>
      <w:r>
        <w:t>is</w:t>
      </w:r>
      <w:r w:rsidRPr="00B068A2">
        <w:t>ation for intersex. Hiker came out as an intersex to raise public awareness of intersex by initiating the "Global Free Hugs with Intersex Movement" at the 8th Taipei Pride Parade 2010. Being the only Asian delegate in the first and second World Intersex Forums held by ILGA, Hiker is devoted to working on building the intersex community in Asia.</w:t>
      </w:r>
      <w:r w:rsidR="00F3764F">
        <w:t xml:space="preserve"> </w:t>
      </w:r>
      <w:r w:rsidRPr="00B068A2">
        <w:t>Hiker is on the Astraea Intersex Human Rights Fund Advisory Board and an ILGA Asia co-chair.</w:t>
      </w:r>
      <w:r w:rsidR="00F3764F">
        <w:t xml:space="preserve"> </w:t>
      </w:r>
      <w:r w:rsidRPr="00B068A2">
        <w:t>Hiker is a Ph.D. candidate of the Graduate School of Human Sexuality,</w:t>
      </w:r>
      <w:r w:rsidR="00D0685C">
        <w:t xml:space="preserve"> Shu-</w:t>
      </w:r>
      <w:proofErr w:type="spellStart"/>
      <w:r w:rsidR="00D0685C">
        <w:t>Te</w:t>
      </w:r>
      <w:proofErr w:type="spellEnd"/>
      <w:r w:rsidR="00D0685C">
        <w:t xml:space="preserve"> University, Taiwan.</w:t>
      </w:r>
      <w:bookmarkEnd w:id="8"/>
      <w:bookmarkEnd w:id="22"/>
      <w:bookmarkEnd w:id="23"/>
    </w:p>
    <w:sectPr w:rsidR="0075434A" w:rsidRPr="00062345" w:rsidSect="00E60E8D">
      <w:footerReference w:type="default" r:id="rId15"/>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C7E0A" w14:textId="77777777" w:rsidR="00A3267C" w:rsidRDefault="00A3267C">
      <w:r>
        <w:separator/>
      </w:r>
    </w:p>
    <w:p w14:paraId="3CFC2325" w14:textId="77777777" w:rsidR="00A3267C" w:rsidRDefault="00A3267C"/>
    <w:p w14:paraId="2FDD104B" w14:textId="77777777" w:rsidR="00A3267C" w:rsidRDefault="00A3267C"/>
  </w:endnote>
  <w:endnote w:type="continuationSeparator" w:id="0">
    <w:p w14:paraId="3E06BAE6" w14:textId="77777777" w:rsidR="00A3267C" w:rsidRDefault="00A3267C">
      <w:r>
        <w:continuationSeparator/>
      </w:r>
    </w:p>
    <w:p w14:paraId="233CE891" w14:textId="77777777" w:rsidR="00A3267C" w:rsidRDefault="00A3267C"/>
    <w:p w14:paraId="72B2C270" w14:textId="77777777" w:rsidR="00A3267C" w:rsidRDefault="00A32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NeueLT Std">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HelveticaNeueLTStd-Bd">
    <w:charset w:val="00"/>
    <w:family w:val="auto"/>
    <w:pitch w:val="variable"/>
    <w:sig w:usb0="800000AF" w:usb1="4000204A" w:usb2="00000000" w:usb3="00000000" w:csb0="00000001" w:csb1="00000000"/>
  </w:font>
  <w:font w:name="HelveticaNeueLTStd-Lt">
    <w:charset w:val="00"/>
    <w:family w:val="auto"/>
    <w:pitch w:val="variable"/>
    <w:sig w:usb0="800000AF" w:usb1="4000204A" w:usb2="00000000" w:usb3="00000000" w:csb0="00000001" w:csb1="00000000"/>
  </w:font>
  <w:font w:name="ArialMT">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4986C" w14:textId="35B44F34" w:rsidR="00DC742C" w:rsidRPr="00231862" w:rsidRDefault="00DC742C" w:rsidP="00C16699">
    <w:pPr>
      <w:pStyle w:val="Footer"/>
      <w:tabs>
        <w:tab w:val="clear" w:pos="4820"/>
      </w:tabs>
      <w:rPr>
        <w:sz w:val="18"/>
      </w:rPr>
    </w:pPr>
    <w:r>
      <w:rPr>
        <w:szCs w:val="16"/>
      </w:rPr>
      <w:t>Celebrating 10 years of the Yogyakarta Principles: What have we learnt and where to now?</w:t>
    </w:r>
    <w:r>
      <w:rPr>
        <w:rStyle w:val="PageNumber"/>
      </w:rPr>
      <w:tab/>
    </w:r>
    <w:r w:rsidRPr="005B430B">
      <w:rPr>
        <w:rStyle w:val="PageNumber"/>
      </w:rPr>
      <w:fldChar w:fldCharType="begin"/>
    </w:r>
    <w:r w:rsidRPr="005B430B">
      <w:rPr>
        <w:rStyle w:val="PageNumber"/>
      </w:rPr>
      <w:instrText xml:space="preserve"> PAGE   \* MERGEFORMAT </w:instrText>
    </w:r>
    <w:r w:rsidRPr="005B430B">
      <w:rPr>
        <w:rStyle w:val="PageNumber"/>
      </w:rPr>
      <w:fldChar w:fldCharType="separate"/>
    </w:r>
    <w:r w:rsidR="00B86071">
      <w:rPr>
        <w:rStyle w:val="PageNumber"/>
        <w:noProof/>
      </w:rPr>
      <w:t>58</w:t>
    </w:r>
    <w:r w:rsidRPr="005B430B">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725D" w14:textId="77777777" w:rsidR="00A3267C" w:rsidRDefault="00A3267C" w:rsidP="006A7D77">
      <w:pPr>
        <w:spacing w:after="60"/>
      </w:pPr>
      <w:r>
        <w:separator/>
      </w:r>
    </w:p>
  </w:footnote>
  <w:footnote w:type="continuationSeparator" w:id="0">
    <w:p w14:paraId="53271AC2" w14:textId="77777777" w:rsidR="00A3267C" w:rsidRDefault="00A3267C" w:rsidP="006A7D77">
      <w:pPr>
        <w:spacing w:after="60"/>
      </w:pPr>
      <w:r>
        <w:continuationSeparator/>
      </w:r>
    </w:p>
  </w:footnote>
  <w:footnote w:type="continuationNotice" w:id="1">
    <w:p w14:paraId="414C6F12" w14:textId="77777777" w:rsidR="00A3267C" w:rsidRPr="00F365C6" w:rsidRDefault="00A3267C" w:rsidP="00F365C6">
      <w:pPr>
        <w:pStyle w:val="Footer"/>
        <w:pBdr>
          <w:top w:val="none" w:sz="0" w:space="0" w:color="auto"/>
        </w:pBdr>
        <w:spacing w:before="0"/>
      </w:pPr>
    </w:p>
  </w:footnote>
  <w:footnote w:id="2">
    <w:p w14:paraId="1F8419A3" w14:textId="613CBBDF" w:rsidR="00DC742C" w:rsidRPr="00BF6519" w:rsidRDefault="00DC742C" w:rsidP="0075434A">
      <w:pPr>
        <w:pStyle w:val="FootnoteText"/>
        <w:ind w:left="180" w:hanging="180"/>
        <w:rPr>
          <w:szCs w:val="18"/>
        </w:rPr>
      </w:pPr>
      <w:r w:rsidRPr="00BF6519">
        <w:rPr>
          <w:rStyle w:val="FootnoteReference"/>
          <w:szCs w:val="18"/>
        </w:rPr>
        <w:footnoteRef/>
      </w:r>
      <w:r>
        <w:rPr>
          <w:szCs w:val="18"/>
        </w:rPr>
        <w:tab/>
      </w:r>
      <w:r w:rsidRPr="00BF6519">
        <w:rPr>
          <w:szCs w:val="18"/>
        </w:rPr>
        <w:t xml:space="preserve">The Yogyakarta Principles, available at: </w:t>
      </w:r>
      <w:hyperlink r:id="rId1" w:history="1">
        <w:r w:rsidRPr="00983E8B">
          <w:rPr>
            <w:rStyle w:val="Hyperlink"/>
            <w:szCs w:val="18"/>
          </w:rPr>
          <w:t>www.yogyakartaprinciples.org/introduction/</w:t>
        </w:r>
      </w:hyperlink>
      <w:r>
        <w:rPr>
          <w:szCs w:val="18"/>
        </w:rPr>
        <w:t>.</w:t>
      </w:r>
    </w:p>
  </w:footnote>
  <w:footnote w:id="3">
    <w:p w14:paraId="29D83C96" w14:textId="10053F03" w:rsidR="00DC742C" w:rsidRPr="00BF6519" w:rsidRDefault="00DC742C" w:rsidP="0075434A">
      <w:pPr>
        <w:pStyle w:val="FootnoteText"/>
        <w:ind w:left="180" w:hanging="180"/>
        <w:rPr>
          <w:szCs w:val="18"/>
        </w:rPr>
      </w:pPr>
      <w:r w:rsidRPr="00BF6519">
        <w:rPr>
          <w:rStyle w:val="FootnoteReference"/>
          <w:szCs w:val="18"/>
        </w:rPr>
        <w:footnoteRef/>
      </w:r>
      <w:r>
        <w:rPr>
          <w:szCs w:val="18"/>
        </w:rPr>
        <w:tab/>
        <w:t>Ibid.</w:t>
      </w:r>
    </w:p>
  </w:footnote>
  <w:footnote w:id="4">
    <w:p w14:paraId="67990D13" w14:textId="1D95F7E9" w:rsidR="00DC742C" w:rsidRPr="00BF6519" w:rsidRDefault="00DC742C" w:rsidP="0075434A">
      <w:pPr>
        <w:pStyle w:val="FootnoteText"/>
        <w:ind w:left="180" w:hanging="180"/>
        <w:rPr>
          <w:szCs w:val="18"/>
        </w:rPr>
      </w:pPr>
      <w:r w:rsidRPr="00BF6519">
        <w:rPr>
          <w:rStyle w:val="FootnoteReference"/>
          <w:szCs w:val="18"/>
        </w:rPr>
        <w:footnoteRef/>
      </w:r>
      <w:r>
        <w:rPr>
          <w:szCs w:val="18"/>
        </w:rPr>
        <w:tab/>
      </w:r>
      <w:r w:rsidRPr="00BF6519">
        <w:rPr>
          <w:szCs w:val="18"/>
        </w:rPr>
        <w:t>Concept Note on APF-UNDP Conference Celebrating 10 years</w:t>
      </w:r>
      <w:r>
        <w:rPr>
          <w:szCs w:val="18"/>
        </w:rPr>
        <w:t xml:space="preserve"> of the Yogyakarta Principles: </w:t>
      </w:r>
      <w:r w:rsidRPr="00BF6519">
        <w:rPr>
          <w:szCs w:val="18"/>
        </w:rPr>
        <w:t>What we have learnt and where to now?</w:t>
      </w:r>
    </w:p>
  </w:footnote>
  <w:footnote w:id="5">
    <w:p w14:paraId="75976FC9" w14:textId="47C94D7C" w:rsidR="00DC742C" w:rsidRPr="00BF6519" w:rsidRDefault="00DC742C" w:rsidP="0075434A">
      <w:pPr>
        <w:pStyle w:val="FootnoteText"/>
        <w:ind w:left="180" w:hanging="180"/>
        <w:rPr>
          <w:szCs w:val="18"/>
        </w:rPr>
      </w:pPr>
      <w:r w:rsidRPr="00BF6519">
        <w:rPr>
          <w:rStyle w:val="FootnoteReference"/>
          <w:szCs w:val="18"/>
        </w:rPr>
        <w:footnoteRef/>
      </w:r>
      <w:r>
        <w:rPr>
          <w:szCs w:val="18"/>
        </w:rPr>
        <w:tab/>
      </w:r>
      <w:r w:rsidRPr="00BF6519">
        <w:rPr>
          <w:szCs w:val="18"/>
        </w:rPr>
        <w:t>Ibid.</w:t>
      </w:r>
    </w:p>
  </w:footnote>
  <w:footnote w:id="6">
    <w:p w14:paraId="4DA862B6" w14:textId="317CE5A2" w:rsidR="00DC742C" w:rsidRPr="00836F8A" w:rsidRDefault="00DC742C" w:rsidP="0075434A">
      <w:pPr>
        <w:pStyle w:val="FootnoteText"/>
        <w:ind w:left="180" w:hanging="180"/>
        <w:rPr>
          <w:szCs w:val="18"/>
        </w:rPr>
      </w:pPr>
      <w:r w:rsidRPr="00836F8A">
        <w:rPr>
          <w:rStyle w:val="FootnoteReference"/>
          <w:szCs w:val="18"/>
        </w:rPr>
        <w:footnoteRef/>
      </w:r>
      <w:r>
        <w:rPr>
          <w:szCs w:val="18"/>
        </w:rPr>
        <w:tab/>
      </w:r>
      <w:r w:rsidRPr="00836F8A">
        <w:rPr>
          <w:szCs w:val="18"/>
        </w:rPr>
        <w:t xml:space="preserve">Details of the recommendations by ACJ are available </w:t>
      </w:r>
      <w:r>
        <w:rPr>
          <w:szCs w:val="18"/>
        </w:rPr>
        <w:t>at</w:t>
      </w:r>
      <w:r w:rsidRPr="00836F8A">
        <w:rPr>
          <w:szCs w:val="18"/>
        </w:rPr>
        <w:t xml:space="preserve">: </w:t>
      </w:r>
      <w:hyperlink r:id="rId2" w:history="1">
        <w:r w:rsidRPr="00983E8B">
          <w:rPr>
            <w:rStyle w:val="Hyperlink"/>
            <w:szCs w:val="18"/>
          </w:rPr>
          <w:t>www.asiapacificforum.net/support/advice-and-expertise/acj/sogi/</w:t>
        </w:r>
      </w:hyperlink>
      <w:r>
        <w:rPr>
          <w:szCs w:val="18"/>
        </w:rPr>
        <w:t>.</w:t>
      </w:r>
    </w:p>
  </w:footnote>
  <w:footnote w:id="7">
    <w:p w14:paraId="4FDFC126" w14:textId="0C1F8E3B" w:rsidR="00DC742C" w:rsidRPr="00BF6519" w:rsidRDefault="00DC742C" w:rsidP="0075434A">
      <w:pPr>
        <w:pStyle w:val="FootnoteText"/>
        <w:ind w:left="180" w:hanging="180"/>
        <w:rPr>
          <w:szCs w:val="18"/>
        </w:rPr>
      </w:pPr>
      <w:r w:rsidRPr="00BF6519">
        <w:rPr>
          <w:rStyle w:val="FootnoteReference"/>
          <w:szCs w:val="18"/>
        </w:rPr>
        <w:footnoteRef/>
      </w:r>
      <w:r>
        <w:rPr>
          <w:szCs w:val="18"/>
        </w:rPr>
        <w:tab/>
      </w:r>
      <w:r w:rsidRPr="00BF6519">
        <w:rPr>
          <w:szCs w:val="18"/>
        </w:rPr>
        <w:t xml:space="preserve">The Report is available </w:t>
      </w:r>
      <w:r>
        <w:rPr>
          <w:szCs w:val="18"/>
        </w:rPr>
        <w:t>at</w:t>
      </w:r>
      <w:r w:rsidRPr="00BF6519">
        <w:rPr>
          <w:szCs w:val="18"/>
        </w:rPr>
        <w:t xml:space="preserve">: </w:t>
      </w:r>
      <w:hyperlink r:id="rId3" w:history="1">
        <w:r w:rsidRPr="00983E8B">
          <w:rPr>
            <w:rStyle w:val="Hyperlink"/>
            <w:szCs w:val="18"/>
          </w:rPr>
          <w:t>www.asiapacificforum.net/resources/acj-report-sogi/</w:t>
        </w:r>
      </w:hyperlink>
      <w:r>
        <w:rPr>
          <w:szCs w:val="18"/>
        </w:rPr>
        <w:t>.</w:t>
      </w:r>
    </w:p>
  </w:footnote>
  <w:footnote w:id="8">
    <w:p w14:paraId="5601B142" w14:textId="0CA2CCFF" w:rsidR="00DC742C" w:rsidRPr="00BF6519" w:rsidRDefault="00DC742C" w:rsidP="0075434A">
      <w:pPr>
        <w:pStyle w:val="FootnoteText"/>
        <w:ind w:left="180" w:hanging="180"/>
        <w:rPr>
          <w:szCs w:val="18"/>
        </w:rPr>
      </w:pPr>
      <w:r w:rsidRPr="00BF6519">
        <w:rPr>
          <w:rStyle w:val="FootnoteReference"/>
          <w:szCs w:val="18"/>
        </w:rPr>
        <w:footnoteRef/>
      </w:r>
      <w:r>
        <w:rPr>
          <w:szCs w:val="18"/>
        </w:rPr>
        <w:tab/>
      </w:r>
      <w:r w:rsidRPr="00BF6519">
        <w:rPr>
          <w:szCs w:val="18"/>
        </w:rPr>
        <w:t xml:space="preserve">The blended course includes four weeks of online learning, followed by a week-long workshop. Further information on the course is available </w:t>
      </w:r>
      <w:r>
        <w:rPr>
          <w:szCs w:val="18"/>
        </w:rPr>
        <w:t>at</w:t>
      </w:r>
      <w:r w:rsidRPr="00BF6519">
        <w:rPr>
          <w:szCs w:val="18"/>
        </w:rPr>
        <w:t xml:space="preserve">: </w:t>
      </w:r>
      <w:hyperlink r:id="rId4" w:history="1">
        <w:r w:rsidRPr="00983E8B">
          <w:rPr>
            <w:rStyle w:val="Hyperlink"/>
            <w:szCs w:val="18"/>
          </w:rPr>
          <w:t>www.asiapacificforum.net/support/training/sogisc/</w:t>
        </w:r>
      </w:hyperlink>
      <w:r>
        <w:rPr>
          <w:szCs w:val="18"/>
        </w:rPr>
        <w:t xml:space="preserve">. </w:t>
      </w:r>
    </w:p>
  </w:footnote>
  <w:footnote w:id="9">
    <w:p w14:paraId="19FA24BE" w14:textId="5EEC5B28" w:rsidR="00DC742C" w:rsidRPr="00BF6519" w:rsidRDefault="00DC742C" w:rsidP="0075434A">
      <w:pPr>
        <w:pStyle w:val="FootnoteText"/>
        <w:ind w:left="180" w:hanging="180"/>
        <w:rPr>
          <w:szCs w:val="18"/>
        </w:rPr>
      </w:pPr>
      <w:r w:rsidRPr="00BF6519">
        <w:rPr>
          <w:rStyle w:val="FootnoteReference"/>
          <w:szCs w:val="18"/>
        </w:rPr>
        <w:footnoteRef/>
      </w:r>
      <w:r>
        <w:rPr>
          <w:szCs w:val="18"/>
        </w:rPr>
        <w:tab/>
      </w:r>
      <w:r w:rsidRPr="00BF6519">
        <w:rPr>
          <w:szCs w:val="18"/>
        </w:rPr>
        <w:t>Yogyakarta Principles (Principle 19).</w:t>
      </w:r>
    </w:p>
  </w:footnote>
  <w:footnote w:id="10">
    <w:p w14:paraId="2C6058DA" w14:textId="2D170CAD" w:rsidR="00DC742C" w:rsidRPr="00BF6519" w:rsidRDefault="00DC742C" w:rsidP="0075434A">
      <w:pPr>
        <w:pStyle w:val="FootnoteText"/>
        <w:ind w:left="180" w:hanging="180"/>
        <w:rPr>
          <w:szCs w:val="18"/>
        </w:rPr>
      </w:pPr>
      <w:r w:rsidRPr="00BF6519">
        <w:rPr>
          <w:rStyle w:val="FootnoteReference"/>
          <w:szCs w:val="18"/>
        </w:rPr>
        <w:footnoteRef/>
      </w:r>
      <w:r>
        <w:rPr>
          <w:szCs w:val="18"/>
        </w:rPr>
        <w:tab/>
        <w:t xml:space="preserve">APF Manual </w:t>
      </w:r>
      <w:r w:rsidRPr="00900F08">
        <w:rPr>
          <w:i/>
          <w:szCs w:val="18"/>
        </w:rPr>
        <w:t>Promoting and Protecting Human Rights: Sexual Orientation, Gender Identity and Sex Characteristics</w:t>
      </w:r>
      <w:r w:rsidRPr="00BF6519">
        <w:rPr>
          <w:szCs w:val="18"/>
        </w:rPr>
        <w:t xml:space="preserve">, available at: </w:t>
      </w:r>
      <w:hyperlink r:id="rId5" w:history="1">
        <w:r w:rsidRPr="00983E8B">
          <w:rPr>
            <w:rStyle w:val="Hyperlink"/>
            <w:szCs w:val="18"/>
          </w:rPr>
          <w:t>www.asiapacificforum.net/resources/manual-sogi-and-sex-charactersitics/</w:t>
        </w:r>
      </w:hyperlink>
      <w:r>
        <w:rPr>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548C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B82ADA36"/>
    <w:lvl w:ilvl="0">
      <w:start w:val="1"/>
      <w:numFmt w:val="decimal"/>
      <w:lvlText w:val="%1."/>
      <w:lvlJc w:val="left"/>
      <w:pPr>
        <w:tabs>
          <w:tab w:val="num" w:pos="1209"/>
        </w:tabs>
        <w:ind w:left="1209" w:hanging="360"/>
      </w:pPr>
    </w:lvl>
  </w:abstractNum>
  <w:abstractNum w:abstractNumId="3">
    <w:nsid w:val="FFFFFF7E"/>
    <w:multiLevelType w:val="singleLevel"/>
    <w:tmpl w:val="0CB4AFF8"/>
    <w:lvl w:ilvl="0">
      <w:start w:val="1"/>
      <w:numFmt w:val="decimal"/>
      <w:lvlText w:val="%1."/>
      <w:lvlJc w:val="left"/>
      <w:pPr>
        <w:tabs>
          <w:tab w:val="num" w:pos="926"/>
        </w:tabs>
        <w:ind w:left="926" w:hanging="360"/>
      </w:pPr>
    </w:lvl>
  </w:abstractNum>
  <w:abstractNum w:abstractNumId="4">
    <w:nsid w:val="FFFFFF7F"/>
    <w:multiLevelType w:val="singleLevel"/>
    <w:tmpl w:val="64D0F98A"/>
    <w:lvl w:ilvl="0">
      <w:start w:val="1"/>
      <w:numFmt w:val="decimal"/>
      <w:lvlText w:val="%1."/>
      <w:lvlJc w:val="left"/>
      <w:pPr>
        <w:tabs>
          <w:tab w:val="num" w:pos="643"/>
        </w:tabs>
        <w:ind w:left="643" w:hanging="360"/>
      </w:pPr>
    </w:lvl>
  </w:abstractNum>
  <w:abstractNum w:abstractNumId="5">
    <w:nsid w:val="FFFFFF80"/>
    <w:multiLevelType w:val="singleLevel"/>
    <w:tmpl w:val="AAA06B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41CB66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8CA00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008470C"/>
    <w:lvl w:ilvl="0">
      <w:start w:val="1"/>
      <w:numFmt w:val="bullet"/>
      <w:pStyle w:val="ListBullet2"/>
      <w:lvlText w:val="–"/>
      <w:lvlJc w:val="left"/>
      <w:pPr>
        <w:ind w:left="1074" w:hanging="360"/>
      </w:pPr>
      <w:rPr>
        <w:rFonts w:ascii="Arial" w:hAnsi="Aria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0000000C"/>
    <w:multiLevelType w:val="multilevel"/>
    <w:tmpl w:val="0000000C"/>
    <w:name w:val="WWNum3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124"/>
    <w:multiLevelType w:val="hybridMultilevel"/>
    <w:tmpl w:val="270AFF56"/>
    <w:lvl w:ilvl="0" w:tplc="52760FCC">
      <w:start w:val="1"/>
      <w:numFmt w:val="bullet"/>
      <w:lvlText w:val=""/>
      <w:lvlJc w:val="left"/>
    </w:lvl>
    <w:lvl w:ilvl="1" w:tplc="7952ACDE">
      <w:numFmt w:val="decimal"/>
      <w:lvlText w:val=""/>
      <w:lvlJc w:val="left"/>
    </w:lvl>
    <w:lvl w:ilvl="2" w:tplc="35568FEC">
      <w:numFmt w:val="decimal"/>
      <w:lvlText w:val=""/>
      <w:lvlJc w:val="left"/>
    </w:lvl>
    <w:lvl w:ilvl="3" w:tplc="ED2C5528">
      <w:numFmt w:val="decimal"/>
      <w:lvlText w:val=""/>
      <w:lvlJc w:val="left"/>
    </w:lvl>
    <w:lvl w:ilvl="4" w:tplc="5E707F1A">
      <w:numFmt w:val="decimal"/>
      <w:lvlText w:val=""/>
      <w:lvlJc w:val="left"/>
    </w:lvl>
    <w:lvl w:ilvl="5" w:tplc="A0CE7022">
      <w:numFmt w:val="decimal"/>
      <w:lvlText w:val=""/>
      <w:lvlJc w:val="left"/>
    </w:lvl>
    <w:lvl w:ilvl="6" w:tplc="20106B1C">
      <w:numFmt w:val="decimal"/>
      <w:lvlText w:val=""/>
      <w:lvlJc w:val="left"/>
    </w:lvl>
    <w:lvl w:ilvl="7" w:tplc="994C9A7C">
      <w:numFmt w:val="decimal"/>
      <w:lvlText w:val=""/>
      <w:lvlJc w:val="left"/>
    </w:lvl>
    <w:lvl w:ilvl="8" w:tplc="2D6C133E">
      <w:numFmt w:val="decimal"/>
      <w:lvlText w:val=""/>
      <w:lvlJc w:val="left"/>
    </w:lvl>
  </w:abstractNum>
  <w:abstractNum w:abstractNumId="12">
    <w:nsid w:val="00000BB3"/>
    <w:multiLevelType w:val="hybridMultilevel"/>
    <w:tmpl w:val="C12C58EE"/>
    <w:lvl w:ilvl="0" w:tplc="3BA21D0E">
      <w:start w:val="1"/>
      <w:numFmt w:val="bullet"/>
      <w:lvlText w:val=""/>
      <w:lvlJc w:val="left"/>
    </w:lvl>
    <w:lvl w:ilvl="1" w:tplc="015C7400">
      <w:numFmt w:val="decimal"/>
      <w:lvlText w:val=""/>
      <w:lvlJc w:val="left"/>
    </w:lvl>
    <w:lvl w:ilvl="2" w:tplc="B742ED64">
      <w:numFmt w:val="decimal"/>
      <w:lvlText w:val=""/>
      <w:lvlJc w:val="left"/>
    </w:lvl>
    <w:lvl w:ilvl="3" w:tplc="D3CE43A4">
      <w:numFmt w:val="decimal"/>
      <w:lvlText w:val=""/>
      <w:lvlJc w:val="left"/>
    </w:lvl>
    <w:lvl w:ilvl="4" w:tplc="4DA63A90">
      <w:numFmt w:val="decimal"/>
      <w:lvlText w:val=""/>
      <w:lvlJc w:val="left"/>
    </w:lvl>
    <w:lvl w:ilvl="5" w:tplc="245EA126">
      <w:numFmt w:val="decimal"/>
      <w:lvlText w:val=""/>
      <w:lvlJc w:val="left"/>
    </w:lvl>
    <w:lvl w:ilvl="6" w:tplc="E07EC3CA">
      <w:numFmt w:val="decimal"/>
      <w:lvlText w:val=""/>
      <w:lvlJc w:val="left"/>
    </w:lvl>
    <w:lvl w:ilvl="7" w:tplc="9FFAC61A">
      <w:numFmt w:val="decimal"/>
      <w:lvlText w:val=""/>
      <w:lvlJc w:val="left"/>
    </w:lvl>
    <w:lvl w:ilvl="8" w:tplc="452047E8">
      <w:numFmt w:val="decimal"/>
      <w:lvlText w:val=""/>
      <w:lvlJc w:val="left"/>
    </w:lvl>
  </w:abstractNum>
  <w:abstractNum w:abstractNumId="13">
    <w:nsid w:val="00000F3E"/>
    <w:multiLevelType w:val="hybridMultilevel"/>
    <w:tmpl w:val="7BB8DA12"/>
    <w:lvl w:ilvl="0" w:tplc="637869C6">
      <w:start w:val="1"/>
      <w:numFmt w:val="bullet"/>
      <w:lvlText w:val=""/>
      <w:lvlJc w:val="left"/>
    </w:lvl>
    <w:lvl w:ilvl="1" w:tplc="4DAC1A9E">
      <w:numFmt w:val="decimal"/>
      <w:lvlText w:val=""/>
      <w:lvlJc w:val="left"/>
    </w:lvl>
    <w:lvl w:ilvl="2" w:tplc="9EC46E22">
      <w:numFmt w:val="decimal"/>
      <w:lvlText w:val=""/>
      <w:lvlJc w:val="left"/>
    </w:lvl>
    <w:lvl w:ilvl="3" w:tplc="92C0396E">
      <w:numFmt w:val="decimal"/>
      <w:lvlText w:val=""/>
      <w:lvlJc w:val="left"/>
    </w:lvl>
    <w:lvl w:ilvl="4" w:tplc="991E80E8">
      <w:numFmt w:val="decimal"/>
      <w:lvlText w:val=""/>
      <w:lvlJc w:val="left"/>
    </w:lvl>
    <w:lvl w:ilvl="5" w:tplc="B7CED7BE">
      <w:numFmt w:val="decimal"/>
      <w:lvlText w:val=""/>
      <w:lvlJc w:val="left"/>
    </w:lvl>
    <w:lvl w:ilvl="6" w:tplc="0B2262BE">
      <w:numFmt w:val="decimal"/>
      <w:lvlText w:val=""/>
      <w:lvlJc w:val="left"/>
    </w:lvl>
    <w:lvl w:ilvl="7" w:tplc="6FA0C8FE">
      <w:numFmt w:val="decimal"/>
      <w:lvlText w:val=""/>
      <w:lvlJc w:val="left"/>
    </w:lvl>
    <w:lvl w:ilvl="8" w:tplc="5EA44BAC">
      <w:numFmt w:val="decimal"/>
      <w:lvlText w:val=""/>
      <w:lvlJc w:val="left"/>
    </w:lvl>
  </w:abstractNum>
  <w:abstractNum w:abstractNumId="14">
    <w:nsid w:val="000012DB"/>
    <w:multiLevelType w:val="hybridMultilevel"/>
    <w:tmpl w:val="F0DA6FE4"/>
    <w:lvl w:ilvl="0" w:tplc="D8A03328">
      <w:start w:val="1"/>
      <w:numFmt w:val="bullet"/>
      <w:lvlText w:val=""/>
      <w:lvlJc w:val="left"/>
    </w:lvl>
    <w:lvl w:ilvl="1" w:tplc="0764F004">
      <w:numFmt w:val="decimal"/>
      <w:lvlText w:val=""/>
      <w:lvlJc w:val="left"/>
    </w:lvl>
    <w:lvl w:ilvl="2" w:tplc="727EC1BE">
      <w:numFmt w:val="decimal"/>
      <w:lvlText w:val=""/>
      <w:lvlJc w:val="left"/>
    </w:lvl>
    <w:lvl w:ilvl="3" w:tplc="1F3A757A">
      <w:numFmt w:val="decimal"/>
      <w:lvlText w:val=""/>
      <w:lvlJc w:val="left"/>
    </w:lvl>
    <w:lvl w:ilvl="4" w:tplc="69685932">
      <w:numFmt w:val="decimal"/>
      <w:lvlText w:val=""/>
      <w:lvlJc w:val="left"/>
    </w:lvl>
    <w:lvl w:ilvl="5" w:tplc="58F411A6">
      <w:numFmt w:val="decimal"/>
      <w:lvlText w:val=""/>
      <w:lvlJc w:val="left"/>
    </w:lvl>
    <w:lvl w:ilvl="6" w:tplc="8DDCC136">
      <w:numFmt w:val="decimal"/>
      <w:lvlText w:val=""/>
      <w:lvlJc w:val="left"/>
    </w:lvl>
    <w:lvl w:ilvl="7" w:tplc="B568F00C">
      <w:numFmt w:val="decimal"/>
      <w:lvlText w:val=""/>
      <w:lvlJc w:val="left"/>
    </w:lvl>
    <w:lvl w:ilvl="8" w:tplc="B8148428">
      <w:numFmt w:val="decimal"/>
      <w:lvlText w:val=""/>
      <w:lvlJc w:val="left"/>
    </w:lvl>
  </w:abstractNum>
  <w:abstractNum w:abstractNumId="15">
    <w:nsid w:val="0000153C"/>
    <w:multiLevelType w:val="hybridMultilevel"/>
    <w:tmpl w:val="6B3EA142"/>
    <w:lvl w:ilvl="0" w:tplc="046CF19A">
      <w:start w:val="1"/>
      <w:numFmt w:val="bullet"/>
      <w:lvlText w:val=""/>
      <w:lvlJc w:val="left"/>
    </w:lvl>
    <w:lvl w:ilvl="1" w:tplc="69AED79E">
      <w:numFmt w:val="decimal"/>
      <w:lvlText w:val=""/>
      <w:lvlJc w:val="left"/>
    </w:lvl>
    <w:lvl w:ilvl="2" w:tplc="84FAF8E4">
      <w:numFmt w:val="decimal"/>
      <w:lvlText w:val=""/>
      <w:lvlJc w:val="left"/>
    </w:lvl>
    <w:lvl w:ilvl="3" w:tplc="0EA408F0">
      <w:numFmt w:val="decimal"/>
      <w:lvlText w:val=""/>
      <w:lvlJc w:val="left"/>
    </w:lvl>
    <w:lvl w:ilvl="4" w:tplc="1A0CC30E">
      <w:numFmt w:val="decimal"/>
      <w:lvlText w:val=""/>
      <w:lvlJc w:val="left"/>
    </w:lvl>
    <w:lvl w:ilvl="5" w:tplc="66869E06">
      <w:numFmt w:val="decimal"/>
      <w:lvlText w:val=""/>
      <w:lvlJc w:val="left"/>
    </w:lvl>
    <w:lvl w:ilvl="6" w:tplc="EA823B3E">
      <w:numFmt w:val="decimal"/>
      <w:lvlText w:val=""/>
      <w:lvlJc w:val="left"/>
    </w:lvl>
    <w:lvl w:ilvl="7" w:tplc="238C38DC">
      <w:numFmt w:val="decimal"/>
      <w:lvlText w:val=""/>
      <w:lvlJc w:val="left"/>
    </w:lvl>
    <w:lvl w:ilvl="8" w:tplc="D8BAD63A">
      <w:numFmt w:val="decimal"/>
      <w:lvlText w:val=""/>
      <w:lvlJc w:val="left"/>
    </w:lvl>
  </w:abstractNum>
  <w:abstractNum w:abstractNumId="16">
    <w:nsid w:val="00002EA6"/>
    <w:multiLevelType w:val="hybridMultilevel"/>
    <w:tmpl w:val="1046B976"/>
    <w:lvl w:ilvl="0" w:tplc="54280F90">
      <w:start w:val="1"/>
      <w:numFmt w:val="bullet"/>
      <w:lvlText w:val=""/>
      <w:lvlJc w:val="left"/>
    </w:lvl>
    <w:lvl w:ilvl="1" w:tplc="85D82F1C">
      <w:numFmt w:val="decimal"/>
      <w:lvlText w:val=""/>
      <w:lvlJc w:val="left"/>
    </w:lvl>
    <w:lvl w:ilvl="2" w:tplc="A2169B0E">
      <w:numFmt w:val="decimal"/>
      <w:lvlText w:val=""/>
      <w:lvlJc w:val="left"/>
    </w:lvl>
    <w:lvl w:ilvl="3" w:tplc="0D8E7E84">
      <w:numFmt w:val="decimal"/>
      <w:lvlText w:val=""/>
      <w:lvlJc w:val="left"/>
    </w:lvl>
    <w:lvl w:ilvl="4" w:tplc="F8821692">
      <w:numFmt w:val="decimal"/>
      <w:lvlText w:val=""/>
      <w:lvlJc w:val="left"/>
    </w:lvl>
    <w:lvl w:ilvl="5" w:tplc="6520013E">
      <w:numFmt w:val="decimal"/>
      <w:lvlText w:val=""/>
      <w:lvlJc w:val="left"/>
    </w:lvl>
    <w:lvl w:ilvl="6" w:tplc="E5CA36AA">
      <w:numFmt w:val="decimal"/>
      <w:lvlText w:val=""/>
      <w:lvlJc w:val="left"/>
    </w:lvl>
    <w:lvl w:ilvl="7" w:tplc="7B10B178">
      <w:numFmt w:val="decimal"/>
      <w:lvlText w:val=""/>
      <w:lvlJc w:val="left"/>
    </w:lvl>
    <w:lvl w:ilvl="8" w:tplc="C7549B0E">
      <w:numFmt w:val="decimal"/>
      <w:lvlText w:val=""/>
      <w:lvlJc w:val="left"/>
    </w:lvl>
  </w:abstractNum>
  <w:abstractNum w:abstractNumId="17">
    <w:nsid w:val="0000305E"/>
    <w:multiLevelType w:val="hybridMultilevel"/>
    <w:tmpl w:val="9B56C4F8"/>
    <w:lvl w:ilvl="0" w:tplc="EDA6BB68">
      <w:start w:val="1"/>
      <w:numFmt w:val="bullet"/>
      <w:lvlText w:val=""/>
      <w:lvlJc w:val="left"/>
    </w:lvl>
    <w:lvl w:ilvl="1" w:tplc="331AC4DC">
      <w:numFmt w:val="decimal"/>
      <w:lvlText w:val=""/>
      <w:lvlJc w:val="left"/>
    </w:lvl>
    <w:lvl w:ilvl="2" w:tplc="E65A9C0E">
      <w:numFmt w:val="decimal"/>
      <w:lvlText w:val=""/>
      <w:lvlJc w:val="left"/>
    </w:lvl>
    <w:lvl w:ilvl="3" w:tplc="40543934">
      <w:numFmt w:val="decimal"/>
      <w:lvlText w:val=""/>
      <w:lvlJc w:val="left"/>
    </w:lvl>
    <w:lvl w:ilvl="4" w:tplc="E048AF5E">
      <w:numFmt w:val="decimal"/>
      <w:lvlText w:val=""/>
      <w:lvlJc w:val="left"/>
    </w:lvl>
    <w:lvl w:ilvl="5" w:tplc="1A5ECFD8">
      <w:numFmt w:val="decimal"/>
      <w:lvlText w:val=""/>
      <w:lvlJc w:val="left"/>
    </w:lvl>
    <w:lvl w:ilvl="6" w:tplc="1CC2B816">
      <w:numFmt w:val="decimal"/>
      <w:lvlText w:val=""/>
      <w:lvlJc w:val="left"/>
    </w:lvl>
    <w:lvl w:ilvl="7" w:tplc="ADCE5012">
      <w:numFmt w:val="decimal"/>
      <w:lvlText w:val=""/>
      <w:lvlJc w:val="left"/>
    </w:lvl>
    <w:lvl w:ilvl="8" w:tplc="14AEAA74">
      <w:numFmt w:val="decimal"/>
      <w:lvlText w:val=""/>
      <w:lvlJc w:val="left"/>
    </w:lvl>
  </w:abstractNum>
  <w:abstractNum w:abstractNumId="18">
    <w:nsid w:val="0000390C"/>
    <w:multiLevelType w:val="hybridMultilevel"/>
    <w:tmpl w:val="B3AA389C"/>
    <w:lvl w:ilvl="0" w:tplc="3F366830">
      <w:start w:val="1"/>
      <w:numFmt w:val="bullet"/>
      <w:lvlText w:val=""/>
      <w:lvlJc w:val="left"/>
    </w:lvl>
    <w:lvl w:ilvl="1" w:tplc="9A58896E">
      <w:numFmt w:val="decimal"/>
      <w:lvlText w:val=""/>
      <w:lvlJc w:val="left"/>
    </w:lvl>
    <w:lvl w:ilvl="2" w:tplc="C742E90C">
      <w:numFmt w:val="decimal"/>
      <w:lvlText w:val=""/>
      <w:lvlJc w:val="left"/>
    </w:lvl>
    <w:lvl w:ilvl="3" w:tplc="2820BFDA">
      <w:numFmt w:val="decimal"/>
      <w:lvlText w:val=""/>
      <w:lvlJc w:val="left"/>
    </w:lvl>
    <w:lvl w:ilvl="4" w:tplc="98FC7F4C">
      <w:numFmt w:val="decimal"/>
      <w:lvlText w:val=""/>
      <w:lvlJc w:val="left"/>
    </w:lvl>
    <w:lvl w:ilvl="5" w:tplc="F28C8CD4">
      <w:numFmt w:val="decimal"/>
      <w:lvlText w:val=""/>
      <w:lvlJc w:val="left"/>
    </w:lvl>
    <w:lvl w:ilvl="6" w:tplc="04940E3C">
      <w:numFmt w:val="decimal"/>
      <w:lvlText w:val=""/>
      <w:lvlJc w:val="left"/>
    </w:lvl>
    <w:lvl w:ilvl="7" w:tplc="890AA9FE">
      <w:numFmt w:val="decimal"/>
      <w:lvlText w:val=""/>
      <w:lvlJc w:val="left"/>
    </w:lvl>
    <w:lvl w:ilvl="8" w:tplc="F0102518">
      <w:numFmt w:val="decimal"/>
      <w:lvlText w:val=""/>
      <w:lvlJc w:val="left"/>
    </w:lvl>
  </w:abstractNum>
  <w:abstractNum w:abstractNumId="19">
    <w:nsid w:val="00007E87"/>
    <w:multiLevelType w:val="hybridMultilevel"/>
    <w:tmpl w:val="1F7ACE5A"/>
    <w:lvl w:ilvl="0" w:tplc="F18C42FE">
      <w:start w:val="1"/>
      <w:numFmt w:val="bullet"/>
      <w:lvlText w:val=""/>
      <w:lvlJc w:val="left"/>
    </w:lvl>
    <w:lvl w:ilvl="1" w:tplc="94C269E8">
      <w:numFmt w:val="decimal"/>
      <w:lvlText w:val=""/>
      <w:lvlJc w:val="left"/>
    </w:lvl>
    <w:lvl w:ilvl="2" w:tplc="8230C9D2">
      <w:numFmt w:val="decimal"/>
      <w:lvlText w:val=""/>
      <w:lvlJc w:val="left"/>
    </w:lvl>
    <w:lvl w:ilvl="3" w:tplc="037AA51A">
      <w:numFmt w:val="decimal"/>
      <w:lvlText w:val=""/>
      <w:lvlJc w:val="left"/>
    </w:lvl>
    <w:lvl w:ilvl="4" w:tplc="4C62A676">
      <w:numFmt w:val="decimal"/>
      <w:lvlText w:val=""/>
      <w:lvlJc w:val="left"/>
    </w:lvl>
    <w:lvl w:ilvl="5" w:tplc="943EAD76">
      <w:numFmt w:val="decimal"/>
      <w:lvlText w:val=""/>
      <w:lvlJc w:val="left"/>
    </w:lvl>
    <w:lvl w:ilvl="6" w:tplc="1EC4B8FE">
      <w:numFmt w:val="decimal"/>
      <w:lvlText w:val=""/>
      <w:lvlJc w:val="left"/>
    </w:lvl>
    <w:lvl w:ilvl="7" w:tplc="7FA8E35E">
      <w:numFmt w:val="decimal"/>
      <w:lvlText w:val=""/>
      <w:lvlJc w:val="left"/>
    </w:lvl>
    <w:lvl w:ilvl="8" w:tplc="26BC4B00">
      <w:numFmt w:val="decimal"/>
      <w:lvlText w:val=""/>
      <w:lvlJc w:val="left"/>
    </w:lvl>
  </w:abstractNum>
  <w:abstractNum w:abstractNumId="20">
    <w:nsid w:val="01EB4B0E"/>
    <w:multiLevelType w:val="hybridMultilevel"/>
    <w:tmpl w:val="3C805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37D08A2"/>
    <w:multiLevelType w:val="hybridMultilevel"/>
    <w:tmpl w:val="E1F046DE"/>
    <w:styleLink w:val="ImportedStyle11"/>
    <w:lvl w:ilvl="0" w:tplc="03B0B3C8">
      <w:start w:val="1"/>
      <w:numFmt w:val="bullet"/>
      <w:lvlText w:val="•"/>
      <w:lvlJc w:val="left"/>
      <w:pPr>
        <w:ind w:left="578"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08C98">
      <w:start w:val="1"/>
      <w:numFmt w:val="bullet"/>
      <w:lvlText w:val="o"/>
      <w:lvlJc w:val="left"/>
      <w:pPr>
        <w:ind w:left="86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25482">
      <w:start w:val="1"/>
      <w:numFmt w:val="bullet"/>
      <w:lvlText w:val="▪"/>
      <w:lvlJc w:val="left"/>
      <w:pPr>
        <w:ind w:left="158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271BE">
      <w:start w:val="1"/>
      <w:numFmt w:val="bullet"/>
      <w:lvlText w:val="•"/>
      <w:lvlJc w:val="left"/>
      <w:pPr>
        <w:ind w:left="2302"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8A05C">
      <w:start w:val="1"/>
      <w:numFmt w:val="bullet"/>
      <w:lvlText w:val="o"/>
      <w:lvlJc w:val="left"/>
      <w:pPr>
        <w:ind w:left="302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32EF38">
      <w:start w:val="1"/>
      <w:numFmt w:val="bullet"/>
      <w:lvlText w:val="▪"/>
      <w:lvlJc w:val="left"/>
      <w:pPr>
        <w:ind w:left="374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8CB22">
      <w:start w:val="1"/>
      <w:numFmt w:val="bullet"/>
      <w:lvlText w:val="•"/>
      <w:lvlJc w:val="left"/>
      <w:pPr>
        <w:ind w:left="4462"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ACBCFC">
      <w:start w:val="1"/>
      <w:numFmt w:val="bullet"/>
      <w:lvlText w:val="o"/>
      <w:lvlJc w:val="left"/>
      <w:pPr>
        <w:ind w:left="518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903854">
      <w:start w:val="1"/>
      <w:numFmt w:val="bullet"/>
      <w:lvlText w:val="▪"/>
      <w:lvlJc w:val="left"/>
      <w:pPr>
        <w:ind w:left="590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048337A4"/>
    <w:multiLevelType w:val="hybridMultilevel"/>
    <w:tmpl w:val="80FE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4C22D60"/>
    <w:multiLevelType w:val="hybridMultilevel"/>
    <w:tmpl w:val="FC0284A6"/>
    <w:styleLink w:val="ImportedStyle9"/>
    <w:lvl w:ilvl="0" w:tplc="4C04A72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2CB64">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7871E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496C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54BD42">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4487E8">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E4E0A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45FE4">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39B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67434D5"/>
    <w:multiLevelType w:val="hybridMultilevel"/>
    <w:tmpl w:val="0BA64EDA"/>
    <w:styleLink w:val="ImportedStyle17"/>
    <w:lvl w:ilvl="0" w:tplc="90B2915E">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AF03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AA0D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FA086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64682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2542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10549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F4A678">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92BAF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07C5444E"/>
    <w:multiLevelType w:val="hybridMultilevel"/>
    <w:tmpl w:val="605AD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8EA3A13"/>
    <w:multiLevelType w:val="hybridMultilevel"/>
    <w:tmpl w:val="6CD46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BB2065"/>
    <w:multiLevelType w:val="hybridMultilevel"/>
    <w:tmpl w:val="1838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442E1B"/>
    <w:multiLevelType w:val="hybridMultilevel"/>
    <w:tmpl w:val="0972BB50"/>
    <w:styleLink w:val="ImportedStyle14"/>
    <w:lvl w:ilvl="0" w:tplc="77ECF982">
      <w:start w:val="1"/>
      <w:numFmt w:val="bullet"/>
      <w:lvlText w:val="•"/>
      <w:lvlJc w:val="left"/>
      <w:pPr>
        <w:tabs>
          <w:tab w:val="num" w:pos="720"/>
        </w:tabs>
        <w:ind w:left="9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E6C878">
      <w:start w:val="1"/>
      <w:numFmt w:val="bullet"/>
      <w:lvlText w:val="•"/>
      <w:lvlJc w:val="left"/>
      <w:pPr>
        <w:tabs>
          <w:tab w:val="num" w:pos="864"/>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4C0D92">
      <w:start w:val="1"/>
      <w:numFmt w:val="bullet"/>
      <w:lvlText w:val="•"/>
      <w:lvlJc w:val="left"/>
      <w:pPr>
        <w:tabs>
          <w:tab w:val="num" w:pos="1584"/>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C5FBA">
      <w:start w:val="1"/>
      <w:numFmt w:val="bullet"/>
      <w:lvlText w:val="•"/>
      <w:lvlJc w:val="left"/>
      <w:pPr>
        <w:tabs>
          <w:tab w:val="num" w:pos="2304"/>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CD11C">
      <w:start w:val="1"/>
      <w:numFmt w:val="bullet"/>
      <w:lvlText w:val="•"/>
      <w:lvlJc w:val="left"/>
      <w:pPr>
        <w:tabs>
          <w:tab w:val="num" w:pos="3024"/>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47054">
      <w:start w:val="1"/>
      <w:numFmt w:val="bullet"/>
      <w:lvlText w:val="•"/>
      <w:lvlJc w:val="left"/>
      <w:pPr>
        <w:tabs>
          <w:tab w:val="num" w:pos="3744"/>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D006BE">
      <w:start w:val="1"/>
      <w:numFmt w:val="bullet"/>
      <w:lvlText w:val="•"/>
      <w:lvlJc w:val="left"/>
      <w:pPr>
        <w:tabs>
          <w:tab w:val="num" w:pos="4464"/>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5AAFF4">
      <w:start w:val="1"/>
      <w:numFmt w:val="bullet"/>
      <w:lvlText w:val="•"/>
      <w:lvlJc w:val="left"/>
      <w:pPr>
        <w:tabs>
          <w:tab w:val="num" w:pos="5184"/>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D80B5C">
      <w:start w:val="1"/>
      <w:numFmt w:val="bullet"/>
      <w:lvlText w:val="•"/>
      <w:lvlJc w:val="left"/>
      <w:pPr>
        <w:tabs>
          <w:tab w:val="num" w:pos="5904"/>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100D6352"/>
    <w:multiLevelType w:val="hybridMultilevel"/>
    <w:tmpl w:val="070A8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0356F2"/>
    <w:multiLevelType w:val="hybridMultilevel"/>
    <w:tmpl w:val="8EE20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922113"/>
    <w:multiLevelType w:val="hybridMultilevel"/>
    <w:tmpl w:val="F6AE04E4"/>
    <w:styleLink w:val="ImportedStyle12"/>
    <w:lvl w:ilvl="0" w:tplc="1EAAE13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86A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85D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3876A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66628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4C5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ACAB2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AF4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0EB5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2EF13D3"/>
    <w:multiLevelType w:val="hybridMultilevel"/>
    <w:tmpl w:val="7F0A1D6A"/>
    <w:styleLink w:val="ImportedStyle22"/>
    <w:lvl w:ilvl="0" w:tplc="D69847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2A3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6A7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10C7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65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DC74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8AE7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B8F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825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1BEA0590"/>
    <w:multiLevelType w:val="hybridMultilevel"/>
    <w:tmpl w:val="1F7EA53C"/>
    <w:styleLink w:val="ImportedStyle7"/>
    <w:lvl w:ilvl="0" w:tplc="65C2504A">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2AD6C">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81E8A">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EBB7A">
      <w:start w:val="1"/>
      <w:numFmt w:val="bullet"/>
      <w:lvlText w:val="•"/>
      <w:lvlJc w:val="left"/>
      <w:pPr>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263AEC">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84D4">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E4958">
      <w:start w:val="1"/>
      <w:numFmt w:val="bullet"/>
      <w:lvlText w:val="•"/>
      <w:lvlJc w:val="left"/>
      <w:pPr>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C46D8C">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8677C">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1CDB26E4"/>
    <w:multiLevelType w:val="hybridMultilevel"/>
    <w:tmpl w:val="6200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FE96646"/>
    <w:multiLevelType w:val="hybridMultilevel"/>
    <w:tmpl w:val="D6A289EA"/>
    <w:styleLink w:val="ImportedStyle16"/>
    <w:lvl w:ilvl="0" w:tplc="43801A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6C9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CD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0C9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6EDB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2DB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EDB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65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67E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21D3534B"/>
    <w:multiLevelType w:val="hybridMultilevel"/>
    <w:tmpl w:val="6524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7815CA"/>
    <w:multiLevelType w:val="multilevel"/>
    <w:tmpl w:val="9F4462C8"/>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D513981"/>
    <w:multiLevelType w:val="hybridMultilevel"/>
    <w:tmpl w:val="909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5A5D20"/>
    <w:multiLevelType w:val="hybridMultilevel"/>
    <w:tmpl w:val="AD9CB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EA6AF8"/>
    <w:multiLevelType w:val="hybridMultilevel"/>
    <w:tmpl w:val="012E9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A01341"/>
    <w:multiLevelType w:val="hybridMultilevel"/>
    <w:tmpl w:val="CD2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3A5B6D"/>
    <w:multiLevelType w:val="hybridMultilevel"/>
    <w:tmpl w:val="53CE5514"/>
    <w:styleLink w:val="ImportedStyle18"/>
    <w:lvl w:ilvl="0" w:tplc="42EE2F84">
      <w:start w:val="1"/>
      <w:numFmt w:val="decimal"/>
      <w:lvlText w:val="%1."/>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A24DE">
      <w:start w:val="1"/>
      <w:numFmt w:val="lowerLetter"/>
      <w:lvlText w:val="%2."/>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6348E">
      <w:start w:val="1"/>
      <w:numFmt w:val="lowerRoman"/>
      <w:lvlText w:val="%3."/>
      <w:lvlJc w:val="left"/>
      <w:pPr>
        <w:ind w:left="287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2E27FA">
      <w:start w:val="1"/>
      <w:numFmt w:val="decimal"/>
      <w:lvlText w:val="%4."/>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B2A0FE">
      <w:start w:val="1"/>
      <w:numFmt w:val="lowerLetter"/>
      <w:lvlText w:val="%5."/>
      <w:lvlJc w:val="left"/>
      <w:pPr>
        <w:ind w:left="43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25252">
      <w:start w:val="1"/>
      <w:numFmt w:val="lowerRoman"/>
      <w:lvlText w:val="%6."/>
      <w:lvlJc w:val="left"/>
      <w:pPr>
        <w:ind w:left="503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3E0C8E">
      <w:start w:val="1"/>
      <w:numFmt w:val="decimal"/>
      <w:lvlText w:val="%7."/>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1E91CC">
      <w:start w:val="1"/>
      <w:numFmt w:val="lowerLetter"/>
      <w:lvlText w:val="%8."/>
      <w:lvlJc w:val="left"/>
      <w:pPr>
        <w:ind w:left="64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145D12">
      <w:start w:val="1"/>
      <w:numFmt w:val="lowerRoman"/>
      <w:lvlText w:val="%9."/>
      <w:lvlJc w:val="left"/>
      <w:pPr>
        <w:ind w:left="719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35DC754E"/>
    <w:multiLevelType w:val="hybridMultilevel"/>
    <w:tmpl w:val="E6143CA2"/>
    <w:styleLink w:val="ImportedStyle2"/>
    <w:lvl w:ilvl="0" w:tplc="8EE0C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8F2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A23E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545E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CA24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F86E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AEDC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42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2E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366F71E0"/>
    <w:multiLevelType w:val="hybridMultilevel"/>
    <w:tmpl w:val="ECFAD2FA"/>
    <w:styleLink w:val="ImportedStyle6"/>
    <w:lvl w:ilvl="0" w:tplc="5DF86E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CA9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01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9B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65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905A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C1E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EDD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26E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36BF7112"/>
    <w:multiLevelType w:val="hybridMultilevel"/>
    <w:tmpl w:val="BE287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7504771"/>
    <w:multiLevelType w:val="hybridMultilevel"/>
    <w:tmpl w:val="EB363A0A"/>
    <w:styleLink w:val="ImportedStyle1"/>
    <w:lvl w:ilvl="0" w:tplc="FBA482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AA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8C2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CB4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EE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44F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3A38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169A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0B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37D076DE"/>
    <w:multiLevelType w:val="hybridMultilevel"/>
    <w:tmpl w:val="9B882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1C70A3"/>
    <w:multiLevelType w:val="hybridMultilevel"/>
    <w:tmpl w:val="C4B2887C"/>
    <w:styleLink w:val="ImportedStyle13"/>
    <w:lvl w:ilvl="0" w:tplc="6F266E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14132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D6EF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66BB8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6D40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22B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E69B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02D3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C853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3EA468D8"/>
    <w:multiLevelType w:val="hybridMultilevel"/>
    <w:tmpl w:val="0FF4844A"/>
    <w:lvl w:ilvl="0" w:tplc="A92ED204">
      <w:start w:val="1"/>
      <w:numFmt w:val="bullet"/>
      <w:pStyle w:val="ListBullet"/>
      <w:lvlText w:val="•"/>
      <w:lvlJc w:val="left"/>
      <w:pPr>
        <w:ind w:left="-4281" w:hanging="360"/>
      </w:pPr>
      <w:rPr>
        <w:rFonts w:ascii="Arial" w:hAnsi="Arial" w:hint="default"/>
        <w:color w:val="auto"/>
        <w:vertAlign w:val="baseline"/>
      </w:rPr>
    </w:lvl>
    <w:lvl w:ilvl="1" w:tplc="0C090003">
      <w:start w:val="1"/>
      <w:numFmt w:val="bullet"/>
      <w:lvlText w:val="o"/>
      <w:lvlJc w:val="left"/>
      <w:pPr>
        <w:ind w:left="-320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1761" w:hanging="360"/>
      </w:pPr>
      <w:rPr>
        <w:rFonts w:ascii="Symbol" w:hAnsi="Symbol" w:hint="default"/>
      </w:rPr>
    </w:lvl>
    <w:lvl w:ilvl="4" w:tplc="0C090003" w:tentative="1">
      <w:start w:val="1"/>
      <w:numFmt w:val="bullet"/>
      <w:lvlText w:val="o"/>
      <w:lvlJc w:val="left"/>
      <w:pPr>
        <w:ind w:left="-1041" w:hanging="360"/>
      </w:pPr>
      <w:rPr>
        <w:rFonts w:ascii="Courier New" w:hAnsi="Courier New" w:cs="Courier New" w:hint="default"/>
      </w:rPr>
    </w:lvl>
    <w:lvl w:ilvl="5" w:tplc="0C090005" w:tentative="1">
      <w:start w:val="1"/>
      <w:numFmt w:val="bullet"/>
      <w:lvlText w:val=""/>
      <w:lvlJc w:val="left"/>
      <w:pPr>
        <w:ind w:left="-321" w:hanging="360"/>
      </w:pPr>
      <w:rPr>
        <w:rFonts w:ascii="Wingdings" w:hAnsi="Wingdings" w:hint="default"/>
      </w:rPr>
    </w:lvl>
    <w:lvl w:ilvl="6" w:tplc="0C090001" w:tentative="1">
      <w:start w:val="1"/>
      <w:numFmt w:val="bullet"/>
      <w:lvlText w:val=""/>
      <w:lvlJc w:val="left"/>
      <w:pPr>
        <w:ind w:left="399" w:hanging="360"/>
      </w:pPr>
      <w:rPr>
        <w:rFonts w:ascii="Symbol" w:hAnsi="Symbol" w:hint="default"/>
      </w:rPr>
    </w:lvl>
    <w:lvl w:ilvl="7" w:tplc="0C090003" w:tentative="1">
      <w:start w:val="1"/>
      <w:numFmt w:val="bullet"/>
      <w:lvlText w:val="o"/>
      <w:lvlJc w:val="left"/>
      <w:pPr>
        <w:ind w:left="1119" w:hanging="360"/>
      </w:pPr>
      <w:rPr>
        <w:rFonts w:ascii="Courier New" w:hAnsi="Courier New" w:cs="Courier New" w:hint="default"/>
      </w:rPr>
    </w:lvl>
    <w:lvl w:ilvl="8" w:tplc="0C090005" w:tentative="1">
      <w:start w:val="1"/>
      <w:numFmt w:val="bullet"/>
      <w:lvlText w:val=""/>
      <w:lvlJc w:val="left"/>
      <w:pPr>
        <w:ind w:left="1839" w:hanging="360"/>
      </w:pPr>
      <w:rPr>
        <w:rFonts w:ascii="Wingdings" w:hAnsi="Wingdings" w:hint="default"/>
      </w:rPr>
    </w:lvl>
  </w:abstractNum>
  <w:abstractNum w:abstractNumId="5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1C7270E"/>
    <w:multiLevelType w:val="hybridMultilevel"/>
    <w:tmpl w:val="F1F60A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53">
    <w:nsid w:val="4826196D"/>
    <w:multiLevelType w:val="hybridMultilevel"/>
    <w:tmpl w:val="1C6E1E10"/>
    <w:styleLink w:val="ImportedStyle15"/>
    <w:lvl w:ilvl="0" w:tplc="AD4845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60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A01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694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E60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188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857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FAA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54EA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48A63985"/>
    <w:multiLevelType w:val="hybridMultilevel"/>
    <w:tmpl w:val="D702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DB0262B"/>
    <w:multiLevelType w:val="hybridMultilevel"/>
    <w:tmpl w:val="FECEB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512834FE"/>
    <w:multiLevelType w:val="hybridMultilevel"/>
    <w:tmpl w:val="780AA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72533C"/>
    <w:multiLevelType w:val="hybridMultilevel"/>
    <w:tmpl w:val="E78A5476"/>
    <w:styleLink w:val="ImportedStyle19"/>
    <w:lvl w:ilvl="0" w:tplc="B0C643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5A1D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1CB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B2DD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EAAA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3EAB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2E1E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1AE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3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5552009D"/>
    <w:multiLevelType w:val="hybridMultilevel"/>
    <w:tmpl w:val="8B0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AB3018"/>
    <w:multiLevelType w:val="hybridMultilevel"/>
    <w:tmpl w:val="77B25324"/>
    <w:styleLink w:val="ImportedStyle8"/>
    <w:lvl w:ilvl="0" w:tplc="0F0CA61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0ABD7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E4925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00334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631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46A6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497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AAC8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6E8A8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5D34660E"/>
    <w:multiLevelType w:val="hybridMultilevel"/>
    <w:tmpl w:val="C9DED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1B2420D"/>
    <w:multiLevelType w:val="hybridMultilevel"/>
    <w:tmpl w:val="4D30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7C7105"/>
    <w:multiLevelType w:val="hybridMultilevel"/>
    <w:tmpl w:val="587C1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737499"/>
    <w:multiLevelType w:val="hybridMultilevel"/>
    <w:tmpl w:val="C2CA3780"/>
    <w:styleLink w:val="ImportedStyle21"/>
    <w:lvl w:ilvl="0" w:tplc="7B2A83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46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05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F815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76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A43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4228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A6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63BD13FF"/>
    <w:multiLevelType w:val="hybridMultilevel"/>
    <w:tmpl w:val="AD2E4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264255"/>
    <w:multiLevelType w:val="hybridMultilevel"/>
    <w:tmpl w:val="F922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527314"/>
    <w:multiLevelType w:val="hybridMultilevel"/>
    <w:tmpl w:val="0906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9439F1"/>
    <w:multiLevelType w:val="hybridMultilevel"/>
    <w:tmpl w:val="3EF46648"/>
    <w:styleLink w:val="ImportedStyle4"/>
    <w:lvl w:ilvl="0" w:tplc="36EC81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6D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C6BA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0A2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A6E2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5AAB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1864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947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6E0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nsid w:val="6E6603B6"/>
    <w:multiLevelType w:val="hybridMultilevel"/>
    <w:tmpl w:val="F4203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65292"/>
    <w:multiLevelType w:val="hybridMultilevel"/>
    <w:tmpl w:val="9F4462C8"/>
    <w:lvl w:ilvl="0" w:tplc="52A4BA9C">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72">
    <w:nsid w:val="775F56C9"/>
    <w:multiLevelType w:val="hybridMultilevel"/>
    <w:tmpl w:val="4596FAC6"/>
    <w:styleLink w:val="ImportedStyle5"/>
    <w:lvl w:ilvl="0" w:tplc="1CCE6CC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8BA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A4D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7609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076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FE34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4D3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26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B80F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78912098"/>
    <w:multiLevelType w:val="hybridMultilevel"/>
    <w:tmpl w:val="4DCE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26779E"/>
    <w:multiLevelType w:val="hybridMultilevel"/>
    <w:tmpl w:val="6D1E961E"/>
    <w:styleLink w:val="ImportedStyle10"/>
    <w:lvl w:ilvl="0" w:tplc="84F04F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5FBE">
      <w:start w:val="1"/>
      <w:numFmt w:val="bullet"/>
      <w:lvlText w:val="o"/>
      <w:lvlJc w:val="left"/>
      <w:pPr>
        <w:ind w:left="14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02FCA0">
      <w:start w:val="1"/>
      <w:numFmt w:val="bullet"/>
      <w:lvlText w:val="▪"/>
      <w:lvlJc w:val="left"/>
      <w:pPr>
        <w:ind w:left="21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2AA13C">
      <w:start w:val="1"/>
      <w:numFmt w:val="bullet"/>
      <w:lvlText w:val="•"/>
      <w:lvlJc w:val="left"/>
      <w:pPr>
        <w:ind w:left="28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CEEF8">
      <w:start w:val="1"/>
      <w:numFmt w:val="bullet"/>
      <w:lvlText w:val="o"/>
      <w:lvlJc w:val="left"/>
      <w:pPr>
        <w:ind w:left="35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8A352C">
      <w:start w:val="1"/>
      <w:numFmt w:val="bullet"/>
      <w:lvlText w:val="▪"/>
      <w:lvlJc w:val="left"/>
      <w:pPr>
        <w:ind w:left="43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EA5870">
      <w:start w:val="1"/>
      <w:numFmt w:val="bullet"/>
      <w:lvlText w:val="•"/>
      <w:lvlJc w:val="left"/>
      <w:pPr>
        <w:ind w:left="50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62D62">
      <w:start w:val="1"/>
      <w:numFmt w:val="bullet"/>
      <w:lvlText w:val="o"/>
      <w:lvlJc w:val="left"/>
      <w:pPr>
        <w:ind w:left="57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C7356">
      <w:start w:val="1"/>
      <w:numFmt w:val="bullet"/>
      <w:lvlText w:val="▪"/>
      <w:lvlJc w:val="left"/>
      <w:pPr>
        <w:ind w:left="64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nsid w:val="7FD4332A"/>
    <w:multiLevelType w:val="hybridMultilevel"/>
    <w:tmpl w:val="2676F452"/>
    <w:styleLink w:val="ImportedStyle20"/>
    <w:lvl w:ilvl="0" w:tplc="7E6C8B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4C8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32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0C63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EAD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C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E1C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CC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304F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7FFA6AE2"/>
    <w:multiLevelType w:val="hybridMultilevel"/>
    <w:tmpl w:val="74461FCE"/>
    <w:styleLink w:val="ImportedStyle3"/>
    <w:lvl w:ilvl="0" w:tplc="A7A032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0A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CD0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4D0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2A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8F9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94EA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ABB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C81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50"/>
  </w:num>
  <w:num w:numId="3">
    <w:abstractNumId w:val="47"/>
  </w:num>
  <w:num w:numId="4">
    <w:abstractNumId w:val="44"/>
  </w:num>
  <w:num w:numId="5">
    <w:abstractNumId w:val="76"/>
  </w:num>
  <w:num w:numId="6">
    <w:abstractNumId w:val="69"/>
  </w:num>
  <w:num w:numId="7">
    <w:abstractNumId w:val="72"/>
  </w:num>
  <w:num w:numId="8">
    <w:abstractNumId w:val="45"/>
  </w:num>
  <w:num w:numId="9">
    <w:abstractNumId w:val="33"/>
  </w:num>
  <w:num w:numId="10">
    <w:abstractNumId w:val="61"/>
  </w:num>
  <w:num w:numId="11">
    <w:abstractNumId w:val="23"/>
  </w:num>
  <w:num w:numId="12">
    <w:abstractNumId w:val="74"/>
  </w:num>
  <w:num w:numId="13">
    <w:abstractNumId w:val="21"/>
  </w:num>
  <w:num w:numId="14">
    <w:abstractNumId w:val="31"/>
  </w:num>
  <w:num w:numId="15">
    <w:abstractNumId w:val="49"/>
  </w:num>
  <w:num w:numId="16">
    <w:abstractNumId w:val="28"/>
  </w:num>
  <w:num w:numId="17">
    <w:abstractNumId w:val="53"/>
  </w:num>
  <w:num w:numId="18">
    <w:abstractNumId w:val="35"/>
  </w:num>
  <w:num w:numId="19">
    <w:abstractNumId w:val="24"/>
  </w:num>
  <w:num w:numId="20">
    <w:abstractNumId w:val="43"/>
  </w:num>
  <w:num w:numId="21">
    <w:abstractNumId w:val="59"/>
  </w:num>
  <w:num w:numId="22">
    <w:abstractNumId w:val="75"/>
  </w:num>
  <w:num w:numId="23">
    <w:abstractNumId w:val="65"/>
  </w:num>
  <w:num w:numId="24">
    <w:abstractNumId w:val="32"/>
  </w:num>
  <w:num w:numId="25">
    <w:abstractNumId w:val="52"/>
  </w:num>
  <w:num w:numId="26">
    <w:abstractNumId w:val="48"/>
  </w:num>
  <w:num w:numId="27">
    <w:abstractNumId w:val="71"/>
  </w:num>
  <w:num w:numId="28">
    <w:abstractNumId w:val="64"/>
  </w:num>
  <w:num w:numId="29">
    <w:abstractNumId w:val="29"/>
  </w:num>
  <w:num w:numId="30">
    <w:abstractNumId w:val="37"/>
  </w:num>
  <w:num w:numId="31">
    <w:abstractNumId w:val="26"/>
  </w:num>
  <w:num w:numId="32">
    <w:abstractNumId w:val="27"/>
  </w:num>
  <w:num w:numId="33">
    <w:abstractNumId w:val="39"/>
  </w:num>
  <w:num w:numId="34">
    <w:abstractNumId w:val="40"/>
  </w:num>
  <w:num w:numId="35">
    <w:abstractNumId w:val="68"/>
  </w:num>
  <w:num w:numId="36">
    <w:abstractNumId w:val="70"/>
  </w:num>
  <w:num w:numId="37">
    <w:abstractNumId w:val="66"/>
  </w:num>
  <w:num w:numId="38">
    <w:abstractNumId w:val="41"/>
  </w:num>
  <w:num w:numId="39">
    <w:abstractNumId w:val="12"/>
  </w:num>
  <w:num w:numId="40">
    <w:abstractNumId w:val="16"/>
  </w:num>
  <w:num w:numId="41">
    <w:abstractNumId w:val="14"/>
  </w:num>
  <w:num w:numId="42">
    <w:abstractNumId w:val="15"/>
  </w:num>
  <w:num w:numId="43">
    <w:abstractNumId w:val="19"/>
  </w:num>
  <w:num w:numId="44">
    <w:abstractNumId w:val="18"/>
  </w:num>
  <w:num w:numId="45">
    <w:abstractNumId w:val="13"/>
  </w:num>
  <w:num w:numId="46">
    <w:abstractNumId w:val="11"/>
  </w:num>
  <w:num w:numId="47">
    <w:abstractNumId w:val="17"/>
  </w:num>
  <w:num w:numId="48">
    <w:abstractNumId w:val="73"/>
  </w:num>
  <w:num w:numId="49">
    <w:abstractNumId w:val="20"/>
  </w:num>
  <w:num w:numId="50">
    <w:abstractNumId w:val="22"/>
  </w:num>
  <w:num w:numId="51">
    <w:abstractNumId w:val="56"/>
  </w:num>
  <w:num w:numId="52">
    <w:abstractNumId w:val="67"/>
  </w:num>
  <w:num w:numId="53">
    <w:abstractNumId w:val="25"/>
  </w:num>
  <w:num w:numId="54">
    <w:abstractNumId w:val="60"/>
  </w:num>
  <w:num w:numId="55">
    <w:abstractNumId w:val="30"/>
  </w:num>
  <w:num w:numId="56">
    <w:abstractNumId w:val="9"/>
  </w:num>
  <w:num w:numId="57">
    <w:abstractNumId w:val="2"/>
  </w:num>
  <w:num w:numId="58">
    <w:abstractNumId w:val="1"/>
  </w:num>
  <w:num w:numId="59">
    <w:abstractNumId w:val="4"/>
  </w:num>
  <w:num w:numId="60">
    <w:abstractNumId w:val="3"/>
  </w:num>
  <w:num w:numId="61">
    <w:abstractNumId w:val="57"/>
  </w:num>
  <w:num w:numId="62">
    <w:abstractNumId w:val="51"/>
  </w:num>
  <w:num w:numId="63">
    <w:abstractNumId w:val="36"/>
  </w:num>
  <w:num w:numId="64">
    <w:abstractNumId w:val="55"/>
  </w:num>
  <w:num w:numId="65">
    <w:abstractNumId w:val="62"/>
  </w:num>
  <w:num w:numId="66">
    <w:abstractNumId w:val="42"/>
  </w:num>
  <w:num w:numId="67">
    <w:abstractNumId w:val="58"/>
  </w:num>
  <w:num w:numId="68">
    <w:abstractNumId w:val="54"/>
  </w:num>
  <w:num w:numId="69">
    <w:abstractNumId w:val="63"/>
  </w:num>
  <w:num w:numId="70">
    <w:abstractNumId w:val="34"/>
  </w:num>
  <w:num w:numId="71">
    <w:abstractNumId w:val="38"/>
  </w:num>
  <w:num w:numId="72">
    <w:abstractNumId w:val="46"/>
  </w:num>
  <w:num w:numId="73">
    <w:abstractNumId w:val="0"/>
  </w:num>
  <w:num w:numId="74">
    <w:abstractNumId w:val="5"/>
  </w:num>
  <w:num w:numId="75">
    <w:abstractNumId w:val="6"/>
  </w:num>
  <w:num w:numId="76">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F"/>
    <w:rsid w:val="00004281"/>
    <w:rsid w:val="000113F7"/>
    <w:rsid w:val="00013110"/>
    <w:rsid w:val="0001313F"/>
    <w:rsid w:val="00013EEE"/>
    <w:rsid w:val="00016BE3"/>
    <w:rsid w:val="000178F2"/>
    <w:rsid w:val="000271E6"/>
    <w:rsid w:val="00031E53"/>
    <w:rsid w:val="00032740"/>
    <w:rsid w:val="000342FF"/>
    <w:rsid w:val="000360E4"/>
    <w:rsid w:val="00040977"/>
    <w:rsid w:val="00051876"/>
    <w:rsid w:val="00051D29"/>
    <w:rsid w:val="000556F6"/>
    <w:rsid w:val="00057105"/>
    <w:rsid w:val="00062345"/>
    <w:rsid w:val="000670EF"/>
    <w:rsid w:val="00072DF4"/>
    <w:rsid w:val="0007658C"/>
    <w:rsid w:val="00081784"/>
    <w:rsid w:val="000819FD"/>
    <w:rsid w:val="00081D04"/>
    <w:rsid w:val="0008369B"/>
    <w:rsid w:val="00083B63"/>
    <w:rsid w:val="000925F8"/>
    <w:rsid w:val="000A08C4"/>
    <w:rsid w:val="000A0D99"/>
    <w:rsid w:val="000A5408"/>
    <w:rsid w:val="000A6354"/>
    <w:rsid w:val="000A7C7A"/>
    <w:rsid w:val="000C7419"/>
    <w:rsid w:val="000C7E7A"/>
    <w:rsid w:val="000D416B"/>
    <w:rsid w:val="000D624F"/>
    <w:rsid w:val="000E03EE"/>
    <w:rsid w:val="000E21DC"/>
    <w:rsid w:val="000E4344"/>
    <w:rsid w:val="000E589E"/>
    <w:rsid w:val="000F1CD9"/>
    <w:rsid w:val="00100D87"/>
    <w:rsid w:val="001023F3"/>
    <w:rsid w:val="0010711C"/>
    <w:rsid w:val="0011060D"/>
    <w:rsid w:val="00121C0B"/>
    <w:rsid w:val="00122950"/>
    <w:rsid w:val="00123266"/>
    <w:rsid w:val="0012348D"/>
    <w:rsid w:val="001242C1"/>
    <w:rsid w:val="00134184"/>
    <w:rsid w:val="00145C1C"/>
    <w:rsid w:val="00146B40"/>
    <w:rsid w:val="00146C12"/>
    <w:rsid w:val="001474AB"/>
    <w:rsid w:val="001522C7"/>
    <w:rsid w:val="0015542A"/>
    <w:rsid w:val="001641B8"/>
    <w:rsid w:val="00165D1E"/>
    <w:rsid w:val="00166D96"/>
    <w:rsid w:val="0018493F"/>
    <w:rsid w:val="0019005B"/>
    <w:rsid w:val="001906BC"/>
    <w:rsid w:val="00190C40"/>
    <w:rsid w:val="00192661"/>
    <w:rsid w:val="0019415B"/>
    <w:rsid w:val="00194DB2"/>
    <w:rsid w:val="00197244"/>
    <w:rsid w:val="001A01A8"/>
    <w:rsid w:val="001A1CB2"/>
    <w:rsid w:val="001A1E54"/>
    <w:rsid w:val="001A27A0"/>
    <w:rsid w:val="001A3168"/>
    <w:rsid w:val="001A7CD1"/>
    <w:rsid w:val="001B2513"/>
    <w:rsid w:val="001B39D2"/>
    <w:rsid w:val="001B3AA0"/>
    <w:rsid w:val="001B481D"/>
    <w:rsid w:val="001B4DE1"/>
    <w:rsid w:val="001B4DEF"/>
    <w:rsid w:val="001C083B"/>
    <w:rsid w:val="001D18A9"/>
    <w:rsid w:val="001D1E33"/>
    <w:rsid w:val="001D46B9"/>
    <w:rsid w:val="001E25F0"/>
    <w:rsid w:val="001E4981"/>
    <w:rsid w:val="001F035E"/>
    <w:rsid w:val="001F229C"/>
    <w:rsid w:val="001F73AB"/>
    <w:rsid w:val="001F759F"/>
    <w:rsid w:val="00202B73"/>
    <w:rsid w:val="00204C24"/>
    <w:rsid w:val="002075C3"/>
    <w:rsid w:val="0020763B"/>
    <w:rsid w:val="002126E3"/>
    <w:rsid w:val="002132DA"/>
    <w:rsid w:val="0021650B"/>
    <w:rsid w:val="00216B90"/>
    <w:rsid w:val="002178CE"/>
    <w:rsid w:val="00217A07"/>
    <w:rsid w:val="00224793"/>
    <w:rsid w:val="00231862"/>
    <w:rsid w:val="002327AD"/>
    <w:rsid w:val="0023373F"/>
    <w:rsid w:val="0024143B"/>
    <w:rsid w:val="00241F1E"/>
    <w:rsid w:val="00242865"/>
    <w:rsid w:val="00253279"/>
    <w:rsid w:val="00257D4C"/>
    <w:rsid w:val="00263FBB"/>
    <w:rsid w:val="0026564E"/>
    <w:rsid w:val="0026746B"/>
    <w:rsid w:val="0027552E"/>
    <w:rsid w:val="00276051"/>
    <w:rsid w:val="00283EC8"/>
    <w:rsid w:val="00284AE5"/>
    <w:rsid w:val="00291770"/>
    <w:rsid w:val="00293798"/>
    <w:rsid w:val="00294EEA"/>
    <w:rsid w:val="002A05C9"/>
    <w:rsid w:val="002A3DB2"/>
    <w:rsid w:val="002A472B"/>
    <w:rsid w:val="002B1081"/>
    <w:rsid w:val="002B1F22"/>
    <w:rsid w:val="002B2149"/>
    <w:rsid w:val="002B46F3"/>
    <w:rsid w:val="002C1C36"/>
    <w:rsid w:val="002C43D8"/>
    <w:rsid w:val="002C5275"/>
    <w:rsid w:val="002C67DB"/>
    <w:rsid w:val="002C691E"/>
    <w:rsid w:val="002D074D"/>
    <w:rsid w:val="002D0E38"/>
    <w:rsid w:val="002D2802"/>
    <w:rsid w:val="002D388D"/>
    <w:rsid w:val="002D3F4A"/>
    <w:rsid w:val="002D59B8"/>
    <w:rsid w:val="002D6F84"/>
    <w:rsid w:val="002E2E3C"/>
    <w:rsid w:val="002E568F"/>
    <w:rsid w:val="002E575D"/>
    <w:rsid w:val="002F4482"/>
    <w:rsid w:val="002F457E"/>
    <w:rsid w:val="002F5624"/>
    <w:rsid w:val="002F6AF5"/>
    <w:rsid w:val="00300533"/>
    <w:rsid w:val="00302896"/>
    <w:rsid w:val="00303D5A"/>
    <w:rsid w:val="00303F78"/>
    <w:rsid w:val="003141DD"/>
    <w:rsid w:val="003172BE"/>
    <w:rsid w:val="00317BC3"/>
    <w:rsid w:val="00326519"/>
    <w:rsid w:val="003303FD"/>
    <w:rsid w:val="0033231D"/>
    <w:rsid w:val="00332C39"/>
    <w:rsid w:val="00333464"/>
    <w:rsid w:val="00333706"/>
    <w:rsid w:val="0034514F"/>
    <w:rsid w:val="003574BC"/>
    <w:rsid w:val="00360361"/>
    <w:rsid w:val="003612FD"/>
    <w:rsid w:val="00361944"/>
    <w:rsid w:val="00362CA2"/>
    <w:rsid w:val="00363BFD"/>
    <w:rsid w:val="0036480F"/>
    <w:rsid w:val="00365CE6"/>
    <w:rsid w:val="00367CEA"/>
    <w:rsid w:val="00377EDC"/>
    <w:rsid w:val="003830BB"/>
    <w:rsid w:val="003851D1"/>
    <w:rsid w:val="00386021"/>
    <w:rsid w:val="00387AF8"/>
    <w:rsid w:val="00387C89"/>
    <w:rsid w:val="00394EC2"/>
    <w:rsid w:val="003966D5"/>
    <w:rsid w:val="003A03CA"/>
    <w:rsid w:val="003A1189"/>
    <w:rsid w:val="003A1280"/>
    <w:rsid w:val="003A3A56"/>
    <w:rsid w:val="003A3EC2"/>
    <w:rsid w:val="003B0899"/>
    <w:rsid w:val="003B0D34"/>
    <w:rsid w:val="003B2D46"/>
    <w:rsid w:val="003B7DA0"/>
    <w:rsid w:val="003C2AA7"/>
    <w:rsid w:val="003C2DC3"/>
    <w:rsid w:val="003C3D7E"/>
    <w:rsid w:val="003D1ADF"/>
    <w:rsid w:val="003D27E4"/>
    <w:rsid w:val="003D61C7"/>
    <w:rsid w:val="003D751F"/>
    <w:rsid w:val="003E4321"/>
    <w:rsid w:val="003E78A9"/>
    <w:rsid w:val="003E7DDB"/>
    <w:rsid w:val="003E7E04"/>
    <w:rsid w:val="003F0F2F"/>
    <w:rsid w:val="003F5542"/>
    <w:rsid w:val="004011CF"/>
    <w:rsid w:val="004035CF"/>
    <w:rsid w:val="00410C83"/>
    <w:rsid w:val="00412A5A"/>
    <w:rsid w:val="00414785"/>
    <w:rsid w:val="00415798"/>
    <w:rsid w:val="004233CB"/>
    <w:rsid w:val="004261DF"/>
    <w:rsid w:val="00427799"/>
    <w:rsid w:val="004318F9"/>
    <w:rsid w:val="004338EB"/>
    <w:rsid w:val="0043487A"/>
    <w:rsid w:val="004373E4"/>
    <w:rsid w:val="004415C7"/>
    <w:rsid w:val="00442915"/>
    <w:rsid w:val="00446DF9"/>
    <w:rsid w:val="004515A1"/>
    <w:rsid w:val="00453347"/>
    <w:rsid w:val="00454243"/>
    <w:rsid w:val="00456B87"/>
    <w:rsid w:val="00460391"/>
    <w:rsid w:val="0046171B"/>
    <w:rsid w:val="00463255"/>
    <w:rsid w:val="00463545"/>
    <w:rsid w:val="00465F46"/>
    <w:rsid w:val="00466A49"/>
    <w:rsid w:val="0047583D"/>
    <w:rsid w:val="00480233"/>
    <w:rsid w:val="00480715"/>
    <w:rsid w:val="00481017"/>
    <w:rsid w:val="00481815"/>
    <w:rsid w:val="00495DFF"/>
    <w:rsid w:val="00497E3E"/>
    <w:rsid w:val="004A25AC"/>
    <w:rsid w:val="004B6D35"/>
    <w:rsid w:val="004C1A4E"/>
    <w:rsid w:val="004C3875"/>
    <w:rsid w:val="004C5AB8"/>
    <w:rsid w:val="004C6E44"/>
    <w:rsid w:val="004D0454"/>
    <w:rsid w:val="004D0D69"/>
    <w:rsid w:val="004D60B8"/>
    <w:rsid w:val="004E1B9F"/>
    <w:rsid w:val="004E7904"/>
    <w:rsid w:val="004F0F9C"/>
    <w:rsid w:val="00500F25"/>
    <w:rsid w:val="00501DDA"/>
    <w:rsid w:val="0050206C"/>
    <w:rsid w:val="00502EFD"/>
    <w:rsid w:val="00504848"/>
    <w:rsid w:val="005049C4"/>
    <w:rsid w:val="0051335B"/>
    <w:rsid w:val="00514872"/>
    <w:rsid w:val="00521C21"/>
    <w:rsid w:val="00530D3B"/>
    <w:rsid w:val="005338C8"/>
    <w:rsid w:val="00535C98"/>
    <w:rsid w:val="00536AE2"/>
    <w:rsid w:val="005372B3"/>
    <w:rsid w:val="00545998"/>
    <w:rsid w:val="00554241"/>
    <w:rsid w:val="005545FC"/>
    <w:rsid w:val="00554E61"/>
    <w:rsid w:val="005563BF"/>
    <w:rsid w:val="00557AA4"/>
    <w:rsid w:val="00560390"/>
    <w:rsid w:val="00561F5E"/>
    <w:rsid w:val="005630A5"/>
    <w:rsid w:val="005667C6"/>
    <w:rsid w:val="005723CD"/>
    <w:rsid w:val="00573C3F"/>
    <w:rsid w:val="005752F3"/>
    <w:rsid w:val="00577721"/>
    <w:rsid w:val="005848EA"/>
    <w:rsid w:val="00592490"/>
    <w:rsid w:val="0059510B"/>
    <w:rsid w:val="00597147"/>
    <w:rsid w:val="00597F0F"/>
    <w:rsid w:val="005A75D5"/>
    <w:rsid w:val="005B430B"/>
    <w:rsid w:val="005B774C"/>
    <w:rsid w:val="005C2620"/>
    <w:rsid w:val="005D6B3A"/>
    <w:rsid w:val="005E456C"/>
    <w:rsid w:val="005F02D3"/>
    <w:rsid w:val="005F0A5C"/>
    <w:rsid w:val="005F303A"/>
    <w:rsid w:val="005F4C6C"/>
    <w:rsid w:val="005F5D2A"/>
    <w:rsid w:val="0060553B"/>
    <w:rsid w:val="00607F38"/>
    <w:rsid w:val="00615CB4"/>
    <w:rsid w:val="00621ECB"/>
    <w:rsid w:val="00624ED8"/>
    <w:rsid w:val="00625841"/>
    <w:rsid w:val="00641FBB"/>
    <w:rsid w:val="0064628A"/>
    <w:rsid w:val="0064638C"/>
    <w:rsid w:val="00646460"/>
    <w:rsid w:val="00652DCC"/>
    <w:rsid w:val="00654978"/>
    <w:rsid w:val="0066546C"/>
    <w:rsid w:val="006672D0"/>
    <w:rsid w:val="00670A77"/>
    <w:rsid w:val="00676744"/>
    <w:rsid w:val="00681332"/>
    <w:rsid w:val="00683C8C"/>
    <w:rsid w:val="00684EBE"/>
    <w:rsid w:val="006876B6"/>
    <w:rsid w:val="0069768F"/>
    <w:rsid w:val="006A0202"/>
    <w:rsid w:val="006A1A55"/>
    <w:rsid w:val="006A34D7"/>
    <w:rsid w:val="006A780C"/>
    <w:rsid w:val="006A7D77"/>
    <w:rsid w:val="006B025C"/>
    <w:rsid w:val="006B3C96"/>
    <w:rsid w:val="006B496C"/>
    <w:rsid w:val="006B5172"/>
    <w:rsid w:val="006B5B8F"/>
    <w:rsid w:val="006B6982"/>
    <w:rsid w:val="006B78FB"/>
    <w:rsid w:val="006C25A1"/>
    <w:rsid w:val="006D6E33"/>
    <w:rsid w:val="006E06EA"/>
    <w:rsid w:val="006E467A"/>
    <w:rsid w:val="006F26A5"/>
    <w:rsid w:val="006F368D"/>
    <w:rsid w:val="006F5413"/>
    <w:rsid w:val="006F6042"/>
    <w:rsid w:val="00701490"/>
    <w:rsid w:val="00701C5A"/>
    <w:rsid w:val="00703A8F"/>
    <w:rsid w:val="007054E4"/>
    <w:rsid w:val="0071101A"/>
    <w:rsid w:val="007114E6"/>
    <w:rsid w:val="0071767C"/>
    <w:rsid w:val="00717DDF"/>
    <w:rsid w:val="0072209E"/>
    <w:rsid w:val="00725A9E"/>
    <w:rsid w:val="00726149"/>
    <w:rsid w:val="007310FF"/>
    <w:rsid w:val="00733F6A"/>
    <w:rsid w:val="00735C51"/>
    <w:rsid w:val="007365B4"/>
    <w:rsid w:val="00740490"/>
    <w:rsid w:val="007419D3"/>
    <w:rsid w:val="00745BBC"/>
    <w:rsid w:val="00750E8D"/>
    <w:rsid w:val="0075266D"/>
    <w:rsid w:val="0075434A"/>
    <w:rsid w:val="00757171"/>
    <w:rsid w:val="0076144C"/>
    <w:rsid w:val="0076197B"/>
    <w:rsid w:val="00761C81"/>
    <w:rsid w:val="00765FAF"/>
    <w:rsid w:val="00770261"/>
    <w:rsid w:val="00774D0B"/>
    <w:rsid w:val="00777B95"/>
    <w:rsid w:val="00784835"/>
    <w:rsid w:val="0079373B"/>
    <w:rsid w:val="0079563C"/>
    <w:rsid w:val="007A0641"/>
    <w:rsid w:val="007A15B6"/>
    <w:rsid w:val="007A1DFC"/>
    <w:rsid w:val="007A41EB"/>
    <w:rsid w:val="007A492B"/>
    <w:rsid w:val="007B0FB3"/>
    <w:rsid w:val="007B1288"/>
    <w:rsid w:val="007B2109"/>
    <w:rsid w:val="007D3A32"/>
    <w:rsid w:val="007E1471"/>
    <w:rsid w:val="007E386E"/>
    <w:rsid w:val="007E3B83"/>
    <w:rsid w:val="007E3DD3"/>
    <w:rsid w:val="007E5AF5"/>
    <w:rsid w:val="007E5E1D"/>
    <w:rsid w:val="007F0A53"/>
    <w:rsid w:val="007F728D"/>
    <w:rsid w:val="00802198"/>
    <w:rsid w:val="0080785A"/>
    <w:rsid w:val="00811E50"/>
    <w:rsid w:val="0081283F"/>
    <w:rsid w:val="008165AB"/>
    <w:rsid w:val="00816F6A"/>
    <w:rsid w:val="008207EC"/>
    <w:rsid w:val="00823C38"/>
    <w:rsid w:val="00823DD8"/>
    <w:rsid w:val="00826C21"/>
    <w:rsid w:val="00826F44"/>
    <w:rsid w:val="00830399"/>
    <w:rsid w:val="008314FD"/>
    <w:rsid w:val="0083430E"/>
    <w:rsid w:val="00836837"/>
    <w:rsid w:val="0083785E"/>
    <w:rsid w:val="00841803"/>
    <w:rsid w:val="0084500E"/>
    <w:rsid w:val="008450A6"/>
    <w:rsid w:val="00851E3E"/>
    <w:rsid w:val="00852639"/>
    <w:rsid w:val="00853672"/>
    <w:rsid w:val="00853C62"/>
    <w:rsid w:val="00853F2B"/>
    <w:rsid w:val="00853FDD"/>
    <w:rsid w:val="00860E09"/>
    <w:rsid w:val="0086150E"/>
    <w:rsid w:val="00861654"/>
    <w:rsid w:val="00861A74"/>
    <w:rsid w:val="00865E92"/>
    <w:rsid w:val="00866CFB"/>
    <w:rsid w:val="008672F0"/>
    <w:rsid w:val="00870BDB"/>
    <w:rsid w:val="008727F0"/>
    <w:rsid w:val="00872A44"/>
    <w:rsid w:val="0087433B"/>
    <w:rsid w:val="008832DF"/>
    <w:rsid w:val="00885C52"/>
    <w:rsid w:val="00890675"/>
    <w:rsid w:val="00892432"/>
    <w:rsid w:val="00892630"/>
    <w:rsid w:val="008940C4"/>
    <w:rsid w:val="008A03DC"/>
    <w:rsid w:val="008A4D10"/>
    <w:rsid w:val="008A68EF"/>
    <w:rsid w:val="008B0867"/>
    <w:rsid w:val="008B6E4E"/>
    <w:rsid w:val="008C008F"/>
    <w:rsid w:val="008C4BB1"/>
    <w:rsid w:val="008D30E6"/>
    <w:rsid w:val="008E0E9C"/>
    <w:rsid w:val="008E2227"/>
    <w:rsid w:val="008E4814"/>
    <w:rsid w:val="008E58CD"/>
    <w:rsid w:val="008E7B44"/>
    <w:rsid w:val="008F225B"/>
    <w:rsid w:val="008F2864"/>
    <w:rsid w:val="008F7B36"/>
    <w:rsid w:val="00900F08"/>
    <w:rsid w:val="00901012"/>
    <w:rsid w:val="00901D5E"/>
    <w:rsid w:val="009024F4"/>
    <w:rsid w:val="009047ED"/>
    <w:rsid w:val="0090563B"/>
    <w:rsid w:val="00907EB9"/>
    <w:rsid w:val="00912371"/>
    <w:rsid w:val="009125AE"/>
    <w:rsid w:val="009203B9"/>
    <w:rsid w:val="009207BB"/>
    <w:rsid w:val="00927C61"/>
    <w:rsid w:val="00930D5F"/>
    <w:rsid w:val="00931E63"/>
    <w:rsid w:val="009322A5"/>
    <w:rsid w:val="00936D5F"/>
    <w:rsid w:val="00940525"/>
    <w:rsid w:val="00941744"/>
    <w:rsid w:val="00942051"/>
    <w:rsid w:val="00944E21"/>
    <w:rsid w:val="009520D3"/>
    <w:rsid w:val="00954C3B"/>
    <w:rsid w:val="00956AEE"/>
    <w:rsid w:val="00957440"/>
    <w:rsid w:val="00966939"/>
    <w:rsid w:val="009669EB"/>
    <w:rsid w:val="00967250"/>
    <w:rsid w:val="00974B72"/>
    <w:rsid w:val="00977C91"/>
    <w:rsid w:val="00983C79"/>
    <w:rsid w:val="009851FD"/>
    <w:rsid w:val="00994A92"/>
    <w:rsid w:val="009A00DE"/>
    <w:rsid w:val="009A41F7"/>
    <w:rsid w:val="009B1F22"/>
    <w:rsid w:val="009B3705"/>
    <w:rsid w:val="009B469F"/>
    <w:rsid w:val="009B4D85"/>
    <w:rsid w:val="009C1DEE"/>
    <w:rsid w:val="009C59ED"/>
    <w:rsid w:val="009C68E1"/>
    <w:rsid w:val="009D014E"/>
    <w:rsid w:val="009D65FE"/>
    <w:rsid w:val="009E014A"/>
    <w:rsid w:val="009F075D"/>
    <w:rsid w:val="00A12000"/>
    <w:rsid w:val="00A16508"/>
    <w:rsid w:val="00A2370F"/>
    <w:rsid w:val="00A24707"/>
    <w:rsid w:val="00A31BCE"/>
    <w:rsid w:val="00A3267C"/>
    <w:rsid w:val="00A343E9"/>
    <w:rsid w:val="00A34696"/>
    <w:rsid w:val="00A35A39"/>
    <w:rsid w:val="00A44B2B"/>
    <w:rsid w:val="00A465EF"/>
    <w:rsid w:val="00A50A6F"/>
    <w:rsid w:val="00A608F0"/>
    <w:rsid w:val="00A6203B"/>
    <w:rsid w:val="00A62D5E"/>
    <w:rsid w:val="00A63ACD"/>
    <w:rsid w:val="00A66BE4"/>
    <w:rsid w:val="00A66CE6"/>
    <w:rsid w:val="00A703AD"/>
    <w:rsid w:val="00A75906"/>
    <w:rsid w:val="00A7727A"/>
    <w:rsid w:val="00A80280"/>
    <w:rsid w:val="00A92212"/>
    <w:rsid w:val="00A926AB"/>
    <w:rsid w:val="00A92DA3"/>
    <w:rsid w:val="00A971AE"/>
    <w:rsid w:val="00AA0651"/>
    <w:rsid w:val="00AA13F4"/>
    <w:rsid w:val="00AA2ACC"/>
    <w:rsid w:val="00AA5515"/>
    <w:rsid w:val="00AA7880"/>
    <w:rsid w:val="00AB4B84"/>
    <w:rsid w:val="00AC2467"/>
    <w:rsid w:val="00AC3557"/>
    <w:rsid w:val="00AD16E4"/>
    <w:rsid w:val="00AD16FE"/>
    <w:rsid w:val="00AD3B45"/>
    <w:rsid w:val="00AD3C43"/>
    <w:rsid w:val="00AE144F"/>
    <w:rsid w:val="00AE5C2D"/>
    <w:rsid w:val="00AF0080"/>
    <w:rsid w:val="00AF6EA5"/>
    <w:rsid w:val="00B02C59"/>
    <w:rsid w:val="00B044FC"/>
    <w:rsid w:val="00B07C16"/>
    <w:rsid w:val="00B17BE9"/>
    <w:rsid w:val="00B216C9"/>
    <w:rsid w:val="00B21D34"/>
    <w:rsid w:val="00B23D70"/>
    <w:rsid w:val="00B26FCA"/>
    <w:rsid w:val="00B40ED0"/>
    <w:rsid w:val="00B43AA6"/>
    <w:rsid w:val="00B45152"/>
    <w:rsid w:val="00B45E30"/>
    <w:rsid w:val="00B474D9"/>
    <w:rsid w:val="00B477DF"/>
    <w:rsid w:val="00B5555A"/>
    <w:rsid w:val="00B61044"/>
    <w:rsid w:val="00B61EA2"/>
    <w:rsid w:val="00B6246E"/>
    <w:rsid w:val="00B723F2"/>
    <w:rsid w:val="00B72DE8"/>
    <w:rsid w:val="00B73CC0"/>
    <w:rsid w:val="00B76D42"/>
    <w:rsid w:val="00B8309C"/>
    <w:rsid w:val="00B86071"/>
    <w:rsid w:val="00B872BE"/>
    <w:rsid w:val="00B910F2"/>
    <w:rsid w:val="00B9336F"/>
    <w:rsid w:val="00B94205"/>
    <w:rsid w:val="00B949B4"/>
    <w:rsid w:val="00B94E74"/>
    <w:rsid w:val="00BA3B31"/>
    <w:rsid w:val="00BA479C"/>
    <w:rsid w:val="00BA5E08"/>
    <w:rsid w:val="00BA7A87"/>
    <w:rsid w:val="00BB00DB"/>
    <w:rsid w:val="00BB2D92"/>
    <w:rsid w:val="00BB315F"/>
    <w:rsid w:val="00BB4890"/>
    <w:rsid w:val="00BC2184"/>
    <w:rsid w:val="00BC563B"/>
    <w:rsid w:val="00BC5F67"/>
    <w:rsid w:val="00BC62CC"/>
    <w:rsid w:val="00BC6D9E"/>
    <w:rsid w:val="00BD09BF"/>
    <w:rsid w:val="00BD3228"/>
    <w:rsid w:val="00BD51F1"/>
    <w:rsid w:val="00BD7A73"/>
    <w:rsid w:val="00BE3F28"/>
    <w:rsid w:val="00BE54D3"/>
    <w:rsid w:val="00BF1C70"/>
    <w:rsid w:val="00BF57CD"/>
    <w:rsid w:val="00BF6CE9"/>
    <w:rsid w:val="00C103C7"/>
    <w:rsid w:val="00C157C7"/>
    <w:rsid w:val="00C16699"/>
    <w:rsid w:val="00C449D1"/>
    <w:rsid w:val="00C50055"/>
    <w:rsid w:val="00C52A3C"/>
    <w:rsid w:val="00C541A4"/>
    <w:rsid w:val="00C55E1B"/>
    <w:rsid w:val="00C573CA"/>
    <w:rsid w:val="00C6003C"/>
    <w:rsid w:val="00C601FF"/>
    <w:rsid w:val="00C61542"/>
    <w:rsid w:val="00C624BA"/>
    <w:rsid w:val="00C62ACB"/>
    <w:rsid w:val="00C63699"/>
    <w:rsid w:val="00C66F8C"/>
    <w:rsid w:val="00C71725"/>
    <w:rsid w:val="00C80A9C"/>
    <w:rsid w:val="00C8224C"/>
    <w:rsid w:val="00C86CEA"/>
    <w:rsid w:val="00C90DC6"/>
    <w:rsid w:val="00C952D1"/>
    <w:rsid w:val="00C978AF"/>
    <w:rsid w:val="00CA02F7"/>
    <w:rsid w:val="00CA1EA9"/>
    <w:rsid w:val="00CA5EC1"/>
    <w:rsid w:val="00CA6BDD"/>
    <w:rsid w:val="00CB3BE5"/>
    <w:rsid w:val="00CB6E19"/>
    <w:rsid w:val="00CC0E38"/>
    <w:rsid w:val="00CC1107"/>
    <w:rsid w:val="00CC78EA"/>
    <w:rsid w:val="00CD0EAF"/>
    <w:rsid w:val="00CD3229"/>
    <w:rsid w:val="00CD4F3E"/>
    <w:rsid w:val="00CE6D1E"/>
    <w:rsid w:val="00CF09E1"/>
    <w:rsid w:val="00CF25D5"/>
    <w:rsid w:val="00CF3137"/>
    <w:rsid w:val="00CF352F"/>
    <w:rsid w:val="00CF37DE"/>
    <w:rsid w:val="00CF540B"/>
    <w:rsid w:val="00CF6F2B"/>
    <w:rsid w:val="00D0396E"/>
    <w:rsid w:val="00D055F5"/>
    <w:rsid w:val="00D0685C"/>
    <w:rsid w:val="00D117E8"/>
    <w:rsid w:val="00D11BBE"/>
    <w:rsid w:val="00D13413"/>
    <w:rsid w:val="00D16C94"/>
    <w:rsid w:val="00D224F3"/>
    <w:rsid w:val="00D26357"/>
    <w:rsid w:val="00D27A9A"/>
    <w:rsid w:val="00D30B6B"/>
    <w:rsid w:val="00D30F0F"/>
    <w:rsid w:val="00D366D6"/>
    <w:rsid w:val="00D36834"/>
    <w:rsid w:val="00D40BD1"/>
    <w:rsid w:val="00D47A77"/>
    <w:rsid w:val="00D512E5"/>
    <w:rsid w:val="00D536E5"/>
    <w:rsid w:val="00D55C0F"/>
    <w:rsid w:val="00D60F8E"/>
    <w:rsid w:val="00D657A1"/>
    <w:rsid w:val="00D71C85"/>
    <w:rsid w:val="00D7341F"/>
    <w:rsid w:val="00D752BE"/>
    <w:rsid w:val="00D76FAA"/>
    <w:rsid w:val="00D82F27"/>
    <w:rsid w:val="00D866C9"/>
    <w:rsid w:val="00D97F8B"/>
    <w:rsid w:val="00DA4876"/>
    <w:rsid w:val="00DB43E9"/>
    <w:rsid w:val="00DB5317"/>
    <w:rsid w:val="00DB6DD4"/>
    <w:rsid w:val="00DB7C91"/>
    <w:rsid w:val="00DC0482"/>
    <w:rsid w:val="00DC2765"/>
    <w:rsid w:val="00DC742C"/>
    <w:rsid w:val="00DC7572"/>
    <w:rsid w:val="00DD105B"/>
    <w:rsid w:val="00DD1636"/>
    <w:rsid w:val="00DD7099"/>
    <w:rsid w:val="00DE70A1"/>
    <w:rsid w:val="00DF1DF5"/>
    <w:rsid w:val="00DF4169"/>
    <w:rsid w:val="00DF500D"/>
    <w:rsid w:val="00DF5C13"/>
    <w:rsid w:val="00E0279E"/>
    <w:rsid w:val="00E03344"/>
    <w:rsid w:val="00E05B14"/>
    <w:rsid w:val="00E15CF9"/>
    <w:rsid w:val="00E16B2E"/>
    <w:rsid w:val="00E17196"/>
    <w:rsid w:val="00E208CF"/>
    <w:rsid w:val="00E2318E"/>
    <w:rsid w:val="00E234C5"/>
    <w:rsid w:val="00E24BE8"/>
    <w:rsid w:val="00E26FA9"/>
    <w:rsid w:val="00E31580"/>
    <w:rsid w:val="00E34414"/>
    <w:rsid w:val="00E34C8A"/>
    <w:rsid w:val="00E377F3"/>
    <w:rsid w:val="00E45073"/>
    <w:rsid w:val="00E5176D"/>
    <w:rsid w:val="00E51B1D"/>
    <w:rsid w:val="00E51DB7"/>
    <w:rsid w:val="00E52D66"/>
    <w:rsid w:val="00E532CC"/>
    <w:rsid w:val="00E53BEE"/>
    <w:rsid w:val="00E56A83"/>
    <w:rsid w:val="00E57137"/>
    <w:rsid w:val="00E5794B"/>
    <w:rsid w:val="00E60E8D"/>
    <w:rsid w:val="00E620D5"/>
    <w:rsid w:val="00E6336A"/>
    <w:rsid w:val="00E73BD8"/>
    <w:rsid w:val="00E8108E"/>
    <w:rsid w:val="00E85EF3"/>
    <w:rsid w:val="00E9300E"/>
    <w:rsid w:val="00E93E4E"/>
    <w:rsid w:val="00EA0289"/>
    <w:rsid w:val="00EA34DD"/>
    <w:rsid w:val="00EA3EEB"/>
    <w:rsid w:val="00EA7C45"/>
    <w:rsid w:val="00EB1960"/>
    <w:rsid w:val="00EB2B47"/>
    <w:rsid w:val="00EB536B"/>
    <w:rsid w:val="00EB5FBF"/>
    <w:rsid w:val="00EB6B16"/>
    <w:rsid w:val="00EC0269"/>
    <w:rsid w:val="00EC0DB2"/>
    <w:rsid w:val="00EC2A2A"/>
    <w:rsid w:val="00EC7257"/>
    <w:rsid w:val="00ED01C7"/>
    <w:rsid w:val="00ED10E3"/>
    <w:rsid w:val="00ED1615"/>
    <w:rsid w:val="00ED5A8A"/>
    <w:rsid w:val="00ED644C"/>
    <w:rsid w:val="00EE43DB"/>
    <w:rsid w:val="00EE4D6E"/>
    <w:rsid w:val="00EE4E24"/>
    <w:rsid w:val="00EE5E28"/>
    <w:rsid w:val="00EF099B"/>
    <w:rsid w:val="00EF3675"/>
    <w:rsid w:val="00F01130"/>
    <w:rsid w:val="00F01401"/>
    <w:rsid w:val="00F079A1"/>
    <w:rsid w:val="00F110FB"/>
    <w:rsid w:val="00F15F16"/>
    <w:rsid w:val="00F16CB1"/>
    <w:rsid w:val="00F17853"/>
    <w:rsid w:val="00F1788E"/>
    <w:rsid w:val="00F22E07"/>
    <w:rsid w:val="00F27267"/>
    <w:rsid w:val="00F27AF3"/>
    <w:rsid w:val="00F31F37"/>
    <w:rsid w:val="00F365C6"/>
    <w:rsid w:val="00F3764F"/>
    <w:rsid w:val="00F4132E"/>
    <w:rsid w:val="00F44BA3"/>
    <w:rsid w:val="00F44E79"/>
    <w:rsid w:val="00F463DF"/>
    <w:rsid w:val="00F52FFC"/>
    <w:rsid w:val="00F600DF"/>
    <w:rsid w:val="00F700E6"/>
    <w:rsid w:val="00F727DE"/>
    <w:rsid w:val="00F7355D"/>
    <w:rsid w:val="00F74484"/>
    <w:rsid w:val="00F86E9F"/>
    <w:rsid w:val="00F94431"/>
    <w:rsid w:val="00F971A8"/>
    <w:rsid w:val="00FA248D"/>
    <w:rsid w:val="00FA3BC8"/>
    <w:rsid w:val="00FA409E"/>
    <w:rsid w:val="00FB3CA6"/>
    <w:rsid w:val="00FB4962"/>
    <w:rsid w:val="00FB54B4"/>
    <w:rsid w:val="00FC09DE"/>
    <w:rsid w:val="00FC378C"/>
    <w:rsid w:val="00FC6D80"/>
    <w:rsid w:val="00FC6D81"/>
    <w:rsid w:val="00FD0A02"/>
    <w:rsid w:val="00FD2899"/>
    <w:rsid w:val="00FD35F2"/>
    <w:rsid w:val="00FD3F1A"/>
    <w:rsid w:val="00FD7AA7"/>
    <w:rsid w:val="00FE19CF"/>
    <w:rsid w:val="00FE52D0"/>
    <w:rsid w:val="00FE5611"/>
    <w:rsid w:val="00FF1693"/>
    <w:rsid w:val="00FF40FF"/>
    <w:rsid w:val="00FF7A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CE2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Bulle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952D1"/>
    <w:pPr>
      <w:spacing w:before="240" w:after="240"/>
    </w:pPr>
    <w:rPr>
      <w:rFonts w:ascii="Arial" w:eastAsia="Calibri" w:hAnsi="Arial"/>
      <w:sz w:val="22"/>
      <w:szCs w:val="22"/>
      <w:lang w:eastAsia="en-US"/>
    </w:rPr>
  </w:style>
  <w:style w:type="paragraph" w:styleId="Heading1">
    <w:name w:val="heading 1"/>
    <w:basedOn w:val="Normal"/>
    <w:next w:val="Normal"/>
    <w:link w:val="Heading1Char"/>
    <w:qFormat/>
    <w:rsid w:val="009C1DEE"/>
    <w:pPr>
      <w:keepNext/>
      <w:spacing w:before="360" w:after="360"/>
      <w:ind w:left="567" w:hanging="567"/>
      <w:outlineLvl w:val="0"/>
    </w:pPr>
    <w:rPr>
      <w:rFonts w:cs="Arial"/>
      <w:b/>
      <w:bCs/>
      <w:color w:val="0081C6"/>
      <w:kern w:val="32"/>
      <w:sz w:val="40"/>
      <w:szCs w:val="32"/>
    </w:rPr>
  </w:style>
  <w:style w:type="paragraph" w:styleId="Heading2">
    <w:name w:val="heading 2"/>
    <w:basedOn w:val="Normal"/>
    <w:next w:val="Normal"/>
    <w:link w:val="Heading2Char"/>
    <w:qFormat/>
    <w:rsid w:val="009C1DEE"/>
    <w:pPr>
      <w:keepNext/>
      <w:spacing w:before="360"/>
      <w:ind w:left="567" w:hanging="567"/>
      <w:outlineLvl w:val="1"/>
    </w:pPr>
    <w:rPr>
      <w:rFonts w:cs="Arial"/>
      <w:bCs/>
      <w:iCs/>
      <w:color w:val="0081C6"/>
      <w:sz w:val="32"/>
      <w:szCs w:val="28"/>
    </w:rPr>
  </w:style>
  <w:style w:type="paragraph" w:styleId="Heading3">
    <w:name w:val="heading 3"/>
    <w:basedOn w:val="Normal"/>
    <w:next w:val="Normal"/>
    <w:link w:val="Heading3Char"/>
    <w:qFormat/>
    <w:rsid w:val="00900F08"/>
    <w:pPr>
      <w:keepNext/>
      <w:spacing w:before="360"/>
      <w:outlineLvl w:val="2"/>
    </w:pPr>
    <w:rPr>
      <w:rFonts w:cs="Arial"/>
      <w:b/>
      <w:bCs/>
      <w:color w:val="717073"/>
      <w:sz w:val="27"/>
      <w:szCs w:val="26"/>
    </w:rPr>
  </w:style>
  <w:style w:type="paragraph" w:styleId="Heading4">
    <w:name w:val="heading 4"/>
    <w:basedOn w:val="Normal"/>
    <w:next w:val="Normal"/>
    <w:link w:val="Heading4Char"/>
    <w:qFormat/>
    <w:rsid w:val="009C1DEE"/>
    <w:pPr>
      <w:keepNext/>
      <w:spacing w:before="360"/>
      <w:outlineLvl w:val="3"/>
    </w:pPr>
    <w:rPr>
      <w:b/>
      <w:bCs/>
      <w:sz w:val="24"/>
      <w:szCs w:val="28"/>
    </w:rPr>
  </w:style>
  <w:style w:type="paragraph" w:styleId="Heading5">
    <w:name w:val="heading 5"/>
    <w:basedOn w:val="Normal"/>
    <w:next w:val="Normal"/>
    <w:link w:val="Heading5Char"/>
    <w:qFormat/>
    <w:rsid w:val="00F4132E"/>
    <w:pPr>
      <w:keepNext/>
      <w:spacing w:after="120"/>
      <w:outlineLvl w:val="4"/>
    </w:pPr>
    <w:rPr>
      <w:i/>
      <w:lang w:val="en-GB"/>
    </w:rPr>
  </w:style>
  <w:style w:type="paragraph" w:styleId="Heading6">
    <w:name w:val="heading 6"/>
    <w:basedOn w:val="Normal"/>
    <w:next w:val="Normal"/>
    <w:link w:val="Heading6Char"/>
    <w:qFormat/>
    <w:rsid w:val="0075434A"/>
    <w:pPr>
      <w:numPr>
        <w:ilvl w:val="5"/>
        <w:numId w:val="27"/>
      </w:numPr>
      <w:tabs>
        <w:tab w:val="num" w:pos="4252"/>
      </w:tabs>
      <w:spacing w:after="120"/>
      <w:outlineLvl w:val="5"/>
    </w:pPr>
    <w:rPr>
      <w:rFonts w:ascii="Times New Roman" w:eastAsia="Times New Roman" w:hAnsi="Times New Roman"/>
      <w:sz w:val="24"/>
      <w:szCs w:val="20"/>
    </w:rPr>
  </w:style>
  <w:style w:type="paragraph" w:styleId="Heading7">
    <w:name w:val="heading 7"/>
    <w:basedOn w:val="Normal"/>
    <w:next w:val="Normal"/>
    <w:link w:val="Heading7Char"/>
    <w:qFormat/>
    <w:rsid w:val="0075434A"/>
    <w:pPr>
      <w:numPr>
        <w:ilvl w:val="6"/>
        <w:numId w:val="27"/>
      </w:numPr>
      <w:tabs>
        <w:tab w:val="num" w:pos="1417"/>
      </w:tabs>
      <w:spacing w:after="120"/>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75434A"/>
    <w:pPr>
      <w:numPr>
        <w:ilvl w:val="7"/>
        <w:numId w:val="27"/>
      </w:numPr>
      <w:tabs>
        <w:tab w:val="num" w:pos="1417"/>
      </w:tabs>
      <w:spacing w:after="120"/>
      <w:outlineLvl w:val="7"/>
    </w:pPr>
    <w:rPr>
      <w:rFonts w:ascii="Times New Roman" w:eastAsia="Times New Roman" w:hAnsi="Times New Roman"/>
      <w:sz w:val="24"/>
      <w:szCs w:val="20"/>
    </w:rPr>
  </w:style>
  <w:style w:type="paragraph" w:styleId="Heading9">
    <w:name w:val="heading 9"/>
    <w:basedOn w:val="Normal"/>
    <w:next w:val="Normal"/>
    <w:link w:val="Heading9Char"/>
    <w:qFormat/>
    <w:rsid w:val="0075434A"/>
    <w:pPr>
      <w:numPr>
        <w:ilvl w:val="8"/>
        <w:numId w:val="27"/>
      </w:numPr>
      <w:tabs>
        <w:tab w:val="num" w:pos="1417"/>
      </w:tabs>
      <w:spacing w:after="60"/>
      <w:outlineLvl w:val="8"/>
    </w:pPr>
    <w:rPr>
      <w:rFonts w:eastAsia="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DEE"/>
    <w:rPr>
      <w:rFonts w:ascii="Arial" w:eastAsia="Calibri" w:hAnsi="Arial" w:cs="Arial"/>
      <w:b/>
      <w:bCs/>
      <w:color w:val="0081C6"/>
      <w:kern w:val="32"/>
      <w:sz w:val="40"/>
      <w:szCs w:val="32"/>
      <w:lang w:eastAsia="en-US"/>
    </w:rPr>
  </w:style>
  <w:style w:type="character" w:customStyle="1" w:styleId="Heading2Char">
    <w:name w:val="Heading 2 Char"/>
    <w:basedOn w:val="DefaultParagraphFont"/>
    <w:link w:val="Heading2"/>
    <w:rsid w:val="009C1DEE"/>
    <w:rPr>
      <w:rFonts w:ascii="Arial" w:eastAsia="Calibri" w:hAnsi="Arial" w:cs="Arial"/>
      <w:bCs/>
      <w:iCs/>
      <w:color w:val="0081C6"/>
      <w:sz w:val="32"/>
      <w:szCs w:val="28"/>
      <w:lang w:eastAsia="en-US"/>
    </w:rPr>
  </w:style>
  <w:style w:type="character" w:customStyle="1" w:styleId="Heading3Char">
    <w:name w:val="Heading 3 Char"/>
    <w:basedOn w:val="DefaultParagraphFont"/>
    <w:link w:val="Heading3"/>
    <w:rsid w:val="00900F08"/>
    <w:rPr>
      <w:rFonts w:ascii="Arial" w:eastAsia="Calibri" w:hAnsi="Arial" w:cs="Arial"/>
      <w:b/>
      <w:bCs/>
      <w:color w:val="717073"/>
      <w:sz w:val="27"/>
      <w:szCs w:val="26"/>
      <w:lang w:eastAsia="en-US"/>
    </w:rPr>
  </w:style>
  <w:style w:type="character" w:customStyle="1" w:styleId="Heading5Char">
    <w:name w:val="Heading 5 Char"/>
    <w:basedOn w:val="DefaultParagraphFont"/>
    <w:link w:val="Heading5"/>
    <w:rsid w:val="00F4132E"/>
    <w:rPr>
      <w:rFonts w:ascii="Arial" w:eastAsia="Calibri" w:hAnsi="Arial"/>
      <w:i/>
      <w:sz w:val="22"/>
      <w:szCs w:val="22"/>
      <w:lang w:val="en-GB" w:eastAsia="en-US"/>
    </w:rPr>
  </w:style>
  <w:style w:type="character" w:customStyle="1" w:styleId="Heading6Char">
    <w:name w:val="Heading 6 Char"/>
    <w:basedOn w:val="DefaultParagraphFont"/>
    <w:link w:val="Heading6"/>
    <w:rsid w:val="0075434A"/>
    <w:rPr>
      <w:sz w:val="24"/>
      <w:lang w:eastAsia="en-US"/>
    </w:rPr>
  </w:style>
  <w:style w:type="character" w:customStyle="1" w:styleId="Heading7Char">
    <w:name w:val="Heading 7 Char"/>
    <w:basedOn w:val="DefaultParagraphFont"/>
    <w:link w:val="Heading7"/>
    <w:rsid w:val="0075434A"/>
    <w:rPr>
      <w:sz w:val="24"/>
      <w:lang w:eastAsia="en-US"/>
    </w:rPr>
  </w:style>
  <w:style w:type="character" w:customStyle="1" w:styleId="Heading8Char">
    <w:name w:val="Heading 8 Char"/>
    <w:basedOn w:val="DefaultParagraphFont"/>
    <w:link w:val="Heading8"/>
    <w:rsid w:val="0075434A"/>
    <w:rPr>
      <w:sz w:val="24"/>
      <w:lang w:eastAsia="en-US"/>
    </w:rPr>
  </w:style>
  <w:style w:type="character" w:customStyle="1" w:styleId="Heading9Char">
    <w:name w:val="Heading 9 Char"/>
    <w:basedOn w:val="DefaultParagraphFont"/>
    <w:link w:val="Heading9"/>
    <w:rsid w:val="0075434A"/>
    <w:rPr>
      <w:rFonts w:ascii="Arial" w:hAnsi="Arial"/>
      <w:sz w:val="18"/>
      <w:lang w:eastAsia="en-US"/>
    </w:rPr>
  </w:style>
  <w:style w:type="character" w:styleId="FootnoteReference">
    <w:name w:val="footnote reference"/>
    <w:basedOn w:val="DefaultParagraphFont"/>
    <w:qFormat/>
    <w:rsid w:val="00701490"/>
    <w:rPr>
      <w:rFonts w:cs="Arial"/>
      <w:vertAlign w:val="superscript"/>
    </w:rPr>
  </w:style>
  <w:style w:type="paragraph" w:customStyle="1" w:styleId="ListBulletLessSpace">
    <w:name w:val="List Bullet Less Space"/>
    <w:basedOn w:val="ListBullet"/>
    <w:qFormat/>
    <w:rsid w:val="0075434A"/>
    <w:pPr>
      <w:spacing w:before="120" w:after="120"/>
    </w:pPr>
  </w:style>
  <w:style w:type="paragraph" w:styleId="ListBullet">
    <w:name w:val="List Bullet"/>
    <w:basedOn w:val="Normal"/>
    <w:qFormat/>
    <w:rsid w:val="0075434A"/>
    <w:pPr>
      <w:numPr>
        <w:numId w:val="2"/>
      </w:numPr>
      <w:ind w:left="714" w:hanging="357"/>
    </w:pPr>
    <w:rPr>
      <w:rFonts w:eastAsia="Times New Roman"/>
      <w:szCs w:val="24"/>
      <w:lang w:eastAsia="en-AU"/>
    </w:rPr>
  </w:style>
  <w:style w:type="paragraph" w:styleId="FootnoteText">
    <w:name w:val="footnote text"/>
    <w:basedOn w:val="Normal"/>
    <w:link w:val="FootnoteTextChar"/>
    <w:qFormat/>
    <w:rsid w:val="00367CEA"/>
    <w:pPr>
      <w:spacing w:before="60" w:after="60"/>
    </w:pPr>
    <w:rPr>
      <w:sz w:val="18"/>
      <w:szCs w:val="24"/>
    </w:rPr>
  </w:style>
  <w:style w:type="character" w:customStyle="1" w:styleId="FootnoteTextChar">
    <w:name w:val="Footnote Text Char"/>
    <w:basedOn w:val="DefaultParagraphFont"/>
    <w:link w:val="FootnoteText"/>
    <w:rsid w:val="00367CEA"/>
    <w:rPr>
      <w:rFonts w:ascii="Arial" w:eastAsia="Calibri" w:hAnsi="Arial"/>
      <w:sz w:val="18"/>
      <w:szCs w:val="24"/>
      <w:lang w:eastAsia="en-US"/>
    </w:rPr>
  </w:style>
  <w:style w:type="paragraph" w:customStyle="1" w:styleId="NoParagraphStyle">
    <w:name w:val="[No Paragraph Style]"/>
    <w:rsid w:val="00224793"/>
    <w:pPr>
      <w:autoSpaceDE w:val="0"/>
      <w:autoSpaceDN w:val="0"/>
      <w:adjustRightInd w:val="0"/>
      <w:spacing w:line="288" w:lineRule="auto"/>
      <w:textAlignment w:val="center"/>
    </w:pPr>
    <w:rPr>
      <w:rFonts w:ascii="HelveticaNeueLT Std" w:hAnsi="HelveticaNeueLT Std"/>
      <w:color w:val="000000"/>
      <w:sz w:val="24"/>
      <w:szCs w:val="24"/>
      <w:lang w:val="en-US"/>
    </w:rPr>
  </w:style>
  <w:style w:type="paragraph" w:styleId="TOC3">
    <w:name w:val="toc 3"/>
    <w:basedOn w:val="Normal"/>
    <w:next w:val="Normal"/>
    <w:uiPriority w:val="39"/>
    <w:qFormat/>
    <w:rsid w:val="00DC0482"/>
    <w:pPr>
      <w:tabs>
        <w:tab w:val="right" w:leader="dot" w:pos="9072"/>
      </w:tabs>
      <w:spacing w:after="0"/>
      <w:ind w:left="714"/>
      <w:outlineLvl w:val="2"/>
    </w:pPr>
    <w:rPr>
      <w:i/>
    </w:rPr>
  </w:style>
  <w:style w:type="character" w:styleId="Hyperlink">
    <w:name w:val="Hyperlink"/>
    <w:basedOn w:val="DefaultParagraphFont"/>
    <w:uiPriority w:val="99"/>
    <w:rsid w:val="0020763B"/>
    <w:rPr>
      <w:color w:val="0000FF"/>
      <w:u w:val="single"/>
    </w:rPr>
  </w:style>
  <w:style w:type="paragraph" w:customStyle="1" w:styleId="ListBulletNoSpace">
    <w:name w:val="List Bullet No Space"/>
    <w:basedOn w:val="ListBulletLessSpace"/>
    <w:qFormat/>
    <w:rsid w:val="0075434A"/>
    <w:pPr>
      <w:spacing w:before="0" w:after="0"/>
    </w:pPr>
  </w:style>
  <w:style w:type="paragraph" w:styleId="NormalIndent">
    <w:name w:val="Normal Indent"/>
    <w:basedOn w:val="Normal"/>
    <w:rsid w:val="006A7D77"/>
    <w:pPr>
      <w:ind w:left="357"/>
    </w:pPr>
  </w:style>
  <w:style w:type="paragraph" w:styleId="Footer">
    <w:name w:val="footer"/>
    <w:basedOn w:val="Normal"/>
    <w:link w:val="FooterChar"/>
    <w:uiPriority w:val="99"/>
    <w:qFormat/>
    <w:rsid w:val="004233CB"/>
    <w:pPr>
      <w:pBdr>
        <w:top w:val="single" w:sz="4" w:space="4" w:color="0081C6"/>
      </w:pBdr>
      <w:tabs>
        <w:tab w:val="center" w:pos="4820"/>
        <w:tab w:val="right" w:pos="9072"/>
      </w:tabs>
      <w:spacing w:after="0"/>
    </w:pPr>
    <w:rPr>
      <w:sz w:val="16"/>
    </w:rPr>
  </w:style>
  <w:style w:type="character" w:customStyle="1" w:styleId="FooterChar">
    <w:name w:val="Footer Char"/>
    <w:basedOn w:val="DefaultParagraphFont"/>
    <w:link w:val="Footer"/>
    <w:uiPriority w:val="99"/>
    <w:rsid w:val="004233CB"/>
    <w:rPr>
      <w:rFonts w:ascii="Arial" w:eastAsia="Calibri" w:hAnsi="Arial"/>
      <w:sz w:val="16"/>
      <w:szCs w:val="22"/>
      <w:lang w:eastAsia="en-US"/>
    </w:rPr>
  </w:style>
  <w:style w:type="paragraph" w:styleId="TOC1">
    <w:name w:val="toc 1"/>
    <w:basedOn w:val="Normal"/>
    <w:next w:val="Normal"/>
    <w:uiPriority w:val="39"/>
    <w:qFormat/>
    <w:rsid w:val="00EC0DB2"/>
    <w:pPr>
      <w:tabs>
        <w:tab w:val="left" w:pos="1134"/>
        <w:tab w:val="right" w:leader="dot" w:pos="9072"/>
      </w:tabs>
      <w:spacing w:after="120"/>
      <w:ind w:left="357" w:hanging="357"/>
    </w:pPr>
    <w:rPr>
      <w:b/>
      <w:noProof/>
      <w:color w:val="0081C6"/>
    </w:rPr>
  </w:style>
  <w:style w:type="paragraph" w:styleId="TOC2">
    <w:name w:val="toc 2"/>
    <w:basedOn w:val="Normal"/>
    <w:next w:val="Normal"/>
    <w:uiPriority w:val="39"/>
    <w:qFormat/>
    <w:rsid w:val="00EC0DB2"/>
    <w:pPr>
      <w:tabs>
        <w:tab w:val="right" w:leader="dot" w:pos="9072"/>
      </w:tabs>
      <w:spacing w:before="120" w:after="120"/>
      <w:ind w:left="924" w:hanging="567"/>
    </w:pPr>
  </w:style>
  <w:style w:type="paragraph" w:customStyle="1" w:styleId="APFCoverFooterText">
    <w:name w:val="APF Cover Footer Text"/>
    <w:basedOn w:val="Normal"/>
    <w:qFormat/>
    <w:rsid w:val="003C2AA7"/>
    <w:pPr>
      <w:pBdr>
        <w:bottom w:val="single" w:sz="8" w:space="6" w:color="B3DCF5"/>
      </w:pBdr>
      <w:spacing w:after="120"/>
      <w:ind w:right="4820"/>
    </w:pPr>
    <w:rPr>
      <w:rFonts w:eastAsia="Times New Roman"/>
      <w:sz w:val="20"/>
      <w:szCs w:val="24"/>
      <w:lang w:eastAsia="en-AU"/>
    </w:rPr>
  </w:style>
  <w:style w:type="paragraph" w:customStyle="1" w:styleId="APFCoverFooterHeading">
    <w:name w:val="APF Cover Footer Heading"/>
    <w:basedOn w:val="APFCoverFooterText"/>
    <w:qFormat/>
    <w:rsid w:val="003C2AA7"/>
    <w:pPr>
      <w:pBdr>
        <w:top w:val="single" w:sz="8" w:space="6" w:color="B3DCF5"/>
        <w:bottom w:val="none" w:sz="0" w:space="0" w:color="auto"/>
      </w:pBdr>
    </w:pPr>
    <w:rPr>
      <w:b/>
      <w:color w:val="0081C6"/>
    </w:rPr>
  </w:style>
  <w:style w:type="paragraph" w:customStyle="1" w:styleId="ListBulletLast">
    <w:name w:val="List Bullet Last"/>
    <w:basedOn w:val="ListBullet"/>
    <w:qFormat/>
    <w:rsid w:val="0075434A"/>
    <w:pPr>
      <w:spacing w:before="0" w:after="360"/>
    </w:pPr>
  </w:style>
  <w:style w:type="paragraph" w:customStyle="1" w:styleId="APFLogo">
    <w:name w:val="APF Logo"/>
    <w:basedOn w:val="Normal"/>
    <w:rsid w:val="0020763B"/>
    <w:pPr>
      <w:spacing w:after="2400"/>
    </w:pPr>
    <w:rPr>
      <w:rFonts w:eastAsia="Times New Roman"/>
      <w:szCs w:val="24"/>
      <w:lang w:eastAsia="en-AU"/>
    </w:rPr>
  </w:style>
  <w:style w:type="paragraph" w:customStyle="1" w:styleId="CoverTitle2">
    <w:name w:val="Cover Title 2"/>
    <w:basedOn w:val="Normal"/>
    <w:qFormat/>
    <w:rsid w:val="002132DA"/>
    <w:pPr>
      <w:spacing w:after="2880"/>
    </w:pPr>
    <w:rPr>
      <w:rFonts w:eastAsia="Times New Roman"/>
      <w:bCs/>
      <w:color w:val="717073"/>
      <w:kern w:val="28"/>
      <w:sz w:val="40"/>
      <w:szCs w:val="32"/>
      <w:lang w:eastAsia="en-AU"/>
    </w:rPr>
  </w:style>
  <w:style w:type="paragraph" w:customStyle="1" w:styleId="CoverTitle">
    <w:name w:val="Cover Title"/>
    <w:basedOn w:val="Normal"/>
    <w:qFormat/>
    <w:rsid w:val="002132DA"/>
    <w:pPr>
      <w:spacing w:after="120"/>
    </w:pPr>
    <w:rPr>
      <w:rFonts w:eastAsia="Times New Roman"/>
      <w:bCs/>
      <w:color w:val="0081C6"/>
      <w:kern w:val="28"/>
      <w:sz w:val="48"/>
      <w:szCs w:val="32"/>
      <w:lang w:eastAsia="en-AU"/>
    </w:rPr>
  </w:style>
  <w:style w:type="paragraph" w:customStyle="1" w:styleId="CoverSubtitle">
    <w:name w:val="Cover Subtitle"/>
    <w:basedOn w:val="Normal"/>
    <w:rsid w:val="0020763B"/>
    <w:pPr>
      <w:spacing w:after="920"/>
      <w:ind w:right="3402"/>
      <w:outlineLvl w:val="1"/>
    </w:pPr>
    <w:rPr>
      <w:rFonts w:eastAsia="Times New Roman"/>
      <w:b/>
      <w:color w:val="0081C6"/>
      <w:sz w:val="24"/>
      <w:szCs w:val="24"/>
      <w:lang w:eastAsia="en-AU"/>
    </w:rPr>
  </w:style>
  <w:style w:type="character" w:styleId="PageNumber">
    <w:name w:val="page number"/>
    <w:basedOn w:val="DefaultParagraphFont"/>
    <w:rsid w:val="005B430B"/>
    <w:rPr>
      <w:rFonts w:ascii="Arial" w:hAnsi="Arial"/>
      <w:sz w:val="18"/>
      <w:lang w:val="en-AU"/>
    </w:rPr>
  </w:style>
  <w:style w:type="paragraph" w:customStyle="1" w:styleId="NormalNoSpace">
    <w:name w:val="Normal No Space"/>
    <w:basedOn w:val="Normal"/>
    <w:rsid w:val="00D536E5"/>
    <w:pPr>
      <w:spacing w:before="0" w:after="0"/>
    </w:pPr>
    <w:rPr>
      <w:rFonts w:eastAsia="Times New Roman"/>
      <w:szCs w:val="24"/>
      <w:lang w:eastAsia="en-AU"/>
    </w:rPr>
  </w:style>
  <w:style w:type="table" w:styleId="TableGrid">
    <w:name w:val="Table Grid"/>
    <w:basedOn w:val="TableNormal"/>
    <w:rsid w:val="00C8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73"/>
    <w:qFormat/>
    <w:rsid w:val="002F5624"/>
    <w:pPr>
      <w:ind w:left="567" w:right="567"/>
    </w:pPr>
    <w:rPr>
      <w:rFonts w:eastAsia="Times New Roman"/>
      <w:i/>
      <w:iCs/>
      <w:szCs w:val="24"/>
      <w:lang w:eastAsia="en-AU"/>
    </w:rPr>
  </w:style>
  <w:style w:type="character" w:customStyle="1" w:styleId="QuoteChar">
    <w:name w:val="Quote Char"/>
    <w:basedOn w:val="DefaultParagraphFont"/>
    <w:link w:val="Quote"/>
    <w:uiPriority w:val="73"/>
    <w:rsid w:val="002F5624"/>
    <w:rPr>
      <w:rFonts w:ascii="Arial" w:hAnsi="Arial"/>
      <w:i/>
      <w:iCs/>
      <w:sz w:val="22"/>
      <w:szCs w:val="24"/>
      <w:lang w:eastAsia="en-AU"/>
    </w:rPr>
  </w:style>
  <w:style w:type="paragraph" w:customStyle="1" w:styleId="TOC0">
    <w:name w:val="TOC 0"/>
    <w:basedOn w:val="TOC1"/>
    <w:rsid w:val="00DC0482"/>
    <w:pPr>
      <w:pBdr>
        <w:top w:val="single" w:sz="4" w:space="4" w:color="0095D1"/>
      </w:pBdr>
      <w:tabs>
        <w:tab w:val="left" w:pos="480"/>
      </w:tabs>
      <w:spacing w:before="360" w:after="240"/>
    </w:pPr>
    <w:rPr>
      <w:rFonts w:eastAsia="Times New Roman"/>
      <w:b w:val="0"/>
      <w:color w:val="auto"/>
      <w:szCs w:val="24"/>
      <w:lang w:eastAsia="en-AU"/>
    </w:rPr>
  </w:style>
  <w:style w:type="paragraph" w:styleId="ListBullet2">
    <w:name w:val="List Bullet 2"/>
    <w:basedOn w:val="Normal"/>
    <w:qFormat/>
    <w:rsid w:val="0075434A"/>
    <w:pPr>
      <w:numPr>
        <w:numId w:val="1"/>
      </w:numPr>
      <w:tabs>
        <w:tab w:val="left" w:pos="714"/>
      </w:tabs>
      <w:spacing w:before="120" w:after="120"/>
    </w:pPr>
  </w:style>
  <w:style w:type="character" w:customStyle="1" w:styleId="CharChar">
    <w:name w:val="Char Char"/>
    <w:basedOn w:val="DefaultParagraphFont"/>
    <w:semiHidden/>
    <w:rsid w:val="0020763B"/>
    <w:rPr>
      <w:lang w:eastAsia="en-US"/>
    </w:rPr>
  </w:style>
  <w:style w:type="character" w:customStyle="1" w:styleId="CharChar2">
    <w:name w:val="Char Char2"/>
    <w:basedOn w:val="DefaultParagraphFont"/>
    <w:semiHidden/>
    <w:rsid w:val="0020763B"/>
  </w:style>
  <w:style w:type="paragraph" w:styleId="BalloonText">
    <w:name w:val="Balloon Text"/>
    <w:basedOn w:val="Normal"/>
    <w:link w:val="BalloonTextChar"/>
    <w:semiHidden/>
    <w:rsid w:val="0020763B"/>
    <w:rPr>
      <w:rFonts w:ascii="Tahoma" w:hAnsi="Tahoma" w:cs="Tahoma"/>
      <w:sz w:val="16"/>
      <w:szCs w:val="16"/>
    </w:rPr>
  </w:style>
  <w:style w:type="character" w:customStyle="1" w:styleId="BalloonTextChar">
    <w:name w:val="Balloon Text Char"/>
    <w:basedOn w:val="DefaultParagraphFont"/>
    <w:link w:val="BalloonText"/>
    <w:semiHidden/>
    <w:rsid w:val="007A41EB"/>
    <w:rPr>
      <w:rFonts w:ascii="Tahoma" w:eastAsia="Calibri" w:hAnsi="Tahoma" w:cs="Tahoma"/>
      <w:sz w:val="16"/>
      <w:szCs w:val="16"/>
      <w:lang w:eastAsia="en-US"/>
    </w:rPr>
  </w:style>
  <w:style w:type="paragraph" w:customStyle="1" w:styleId="NormalLast">
    <w:name w:val="Normal Last"/>
    <w:basedOn w:val="Normal"/>
    <w:rsid w:val="0079563C"/>
    <w:pPr>
      <w:spacing w:after="360"/>
    </w:pPr>
  </w:style>
  <w:style w:type="character" w:styleId="FollowedHyperlink">
    <w:name w:val="FollowedHyperlink"/>
    <w:basedOn w:val="DefaultParagraphFont"/>
    <w:rsid w:val="003E4321"/>
    <w:rPr>
      <w:noProof w:val="0"/>
      <w:color w:val="800080"/>
      <w:u w:val="single"/>
      <w:lang w:val="en-AU"/>
    </w:rPr>
  </w:style>
  <w:style w:type="paragraph" w:customStyle="1" w:styleId="NumberedListL1">
    <w:name w:val="Numbered List L1"/>
    <w:basedOn w:val="Normal"/>
    <w:qFormat/>
    <w:rsid w:val="009C1DEE"/>
    <w:pPr>
      <w:tabs>
        <w:tab w:val="left" w:pos="567"/>
      </w:tabs>
      <w:ind w:left="357" w:hanging="357"/>
    </w:pPr>
  </w:style>
  <w:style w:type="paragraph" w:customStyle="1" w:styleId="NumberedListL2">
    <w:name w:val="Numbered List L2"/>
    <w:basedOn w:val="NumberedListL1"/>
    <w:qFormat/>
    <w:rsid w:val="009C1DEE"/>
    <w:pPr>
      <w:tabs>
        <w:tab w:val="clear" w:pos="567"/>
        <w:tab w:val="left" w:pos="1134"/>
      </w:tabs>
      <w:ind w:left="714"/>
    </w:pPr>
  </w:style>
  <w:style w:type="paragraph" w:customStyle="1" w:styleId="NumberedListL3">
    <w:name w:val="Numbered List L3"/>
    <w:basedOn w:val="NumberedListL2"/>
    <w:qFormat/>
    <w:rsid w:val="009C1DEE"/>
    <w:pPr>
      <w:tabs>
        <w:tab w:val="clear" w:pos="1134"/>
        <w:tab w:val="left" w:pos="1701"/>
      </w:tabs>
      <w:ind w:left="1071"/>
    </w:pPr>
  </w:style>
  <w:style w:type="paragraph" w:customStyle="1" w:styleId="NumberedListL4">
    <w:name w:val="Numbered List L4"/>
    <w:basedOn w:val="NumberedListL3"/>
    <w:qFormat/>
    <w:rsid w:val="009C1DEE"/>
    <w:pPr>
      <w:tabs>
        <w:tab w:val="clear" w:pos="1701"/>
        <w:tab w:val="left" w:pos="2268"/>
      </w:tabs>
      <w:ind w:left="1429"/>
    </w:pPr>
  </w:style>
  <w:style w:type="paragraph" w:customStyle="1" w:styleId="ListBulletNoIndent">
    <w:name w:val="List Bullet No Indent"/>
    <w:basedOn w:val="ListBullet"/>
    <w:qFormat/>
    <w:rsid w:val="009C1DEE"/>
    <w:pPr>
      <w:ind w:left="357"/>
    </w:pPr>
  </w:style>
  <w:style w:type="paragraph" w:customStyle="1" w:styleId="Partheading">
    <w:name w:val="Part heading"/>
    <w:basedOn w:val="CoverTitle2"/>
    <w:qFormat/>
    <w:rsid w:val="00276051"/>
    <w:pPr>
      <w:spacing w:after="480"/>
    </w:pPr>
    <w:rPr>
      <w:b/>
      <w:sz w:val="56"/>
      <w:lang w:val="en-GB"/>
    </w:rPr>
  </w:style>
  <w:style w:type="paragraph" w:customStyle="1" w:styleId="TextBoxHeading">
    <w:name w:val="Text Box Heading"/>
    <w:basedOn w:val="Normal"/>
    <w:qFormat/>
    <w:rsid w:val="001906BC"/>
    <w:pPr>
      <w:keepNext/>
      <w:pBdr>
        <w:top w:val="single" w:sz="4" w:space="6" w:color="0081C6"/>
      </w:pBdr>
      <w:spacing w:after="120"/>
    </w:pPr>
    <w:rPr>
      <w:b/>
      <w:bCs/>
      <w:caps/>
      <w:color w:val="0081C6"/>
      <w:lang w:eastAsia="en-AU"/>
    </w:rPr>
  </w:style>
  <w:style w:type="paragraph" w:customStyle="1" w:styleId="Normallessspace">
    <w:name w:val="Normal less space"/>
    <w:basedOn w:val="Normal"/>
    <w:qFormat/>
    <w:rsid w:val="0033231D"/>
    <w:pPr>
      <w:spacing w:before="120" w:after="120"/>
    </w:pPr>
  </w:style>
  <w:style w:type="paragraph" w:customStyle="1" w:styleId="Normalspacebefore">
    <w:name w:val="Normal space before"/>
    <w:basedOn w:val="Normal"/>
    <w:qFormat/>
    <w:rsid w:val="0079563C"/>
    <w:pPr>
      <w:spacing w:before="360"/>
    </w:pPr>
  </w:style>
  <w:style w:type="character" w:customStyle="1" w:styleId="ColorfulGrid-Accent1Char">
    <w:name w:val="Colorful Grid - Accent 1 Char"/>
    <w:link w:val="ColorfulGrid-Accent1"/>
    <w:uiPriority w:val="29"/>
    <w:rsid w:val="003A3EC2"/>
    <w:rPr>
      <w:rFonts w:ascii="Arial Narrow" w:hAnsi="Arial Narrow" w:cs="Times"/>
      <w:i/>
      <w:iCs/>
      <w:sz w:val="22"/>
      <w:szCs w:val="22"/>
      <w:lang w:val="en-GB"/>
    </w:rPr>
  </w:style>
  <w:style w:type="table" w:styleId="ColorfulGrid-Accent1">
    <w:name w:val="Colorful Grid Accent 1"/>
    <w:basedOn w:val="TableNormal"/>
    <w:link w:val="ColorfulGrid-Accent1Char"/>
    <w:uiPriority w:val="29"/>
    <w:rsid w:val="003A3EC2"/>
    <w:rPr>
      <w:rFonts w:ascii="Arial Narrow" w:hAnsi="Arial Narrow" w:cs="Times"/>
      <w:i/>
      <w:iCs/>
      <w:sz w:val="22"/>
      <w:szCs w:val="22"/>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CC110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A41EB"/>
    <w:rPr>
      <w:rFonts w:ascii="Arial Narrow" w:eastAsia="MS Mincho" w:hAnsi="Arial Narrow"/>
      <w:sz w:val="24"/>
      <w:szCs w:val="24"/>
      <w:lang w:val="en-GB" w:eastAsia="en-US"/>
    </w:rPr>
  </w:style>
  <w:style w:type="paragraph" w:styleId="TOC4">
    <w:name w:val="toc 4"/>
    <w:basedOn w:val="Normal"/>
    <w:next w:val="Normal"/>
    <w:autoRedefine/>
    <w:uiPriority w:val="39"/>
    <w:rsid w:val="000670EF"/>
    <w:pPr>
      <w:ind w:left="660"/>
    </w:pPr>
  </w:style>
  <w:style w:type="paragraph" w:customStyle="1" w:styleId="ListBulletNoIndentLessSpace">
    <w:name w:val="List Bullet No Indent Less Space"/>
    <w:basedOn w:val="ListBulletLessSpace"/>
    <w:qFormat/>
    <w:rsid w:val="008E4814"/>
    <w:pPr>
      <w:ind w:left="357"/>
    </w:pPr>
  </w:style>
  <w:style w:type="paragraph" w:customStyle="1" w:styleId="TextBoxLastLine">
    <w:name w:val="Text Box Last Line"/>
    <w:basedOn w:val="Normal"/>
    <w:qFormat/>
    <w:rsid w:val="0080785A"/>
    <w:pPr>
      <w:pBdr>
        <w:bottom w:val="single" w:sz="4" w:space="6" w:color="0081C6"/>
      </w:pBdr>
    </w:pPr>
    <w:rPr>
      <w:lang w:val="en-GB" w:eastAsia="zh-CN"/>
    </w:rPr>
  </w:style>
  <w:style w:type="paragraph" w:customStyle="1" w:styleId="TextBoxBulletLastLine">
    <w:name w:val="Text Box Bullet Last Line"/>
    <w:basedOn w:val="ListBullet"/>
    <w:qFormat/>
    <w:rsid w:val="0075434A"/>
    <w:pPr>
      <w:pBdr>
        <w:bottom w:val="single" w:sz="4" w:space="6" w:color="0081C6"/>
      </w:pBdr>
      <w:spacing w:before="120"/>
      <w:ind w:left="357"/>
    </w:pPr>
  </w:style>
  <w:style w:type="paragraph" w:customStyle="1" w:styleId="NormalTextBox">
    <w:name w:val="Normal Text Box"/>
    <w:basedOn w:val="TextBoxLastLine"/>
    <w:qFormat/>
    <w:rsid w:val="0080785A"/>
    <w:pPr>
      <w:pBdr>
        <w:top w:val="single" w:sz="4" w:space="6" w:color="0081C6"/>
      </w:pBdr>
    </w:pPr>
  </w:style>
  <w:style w:type="paragraph" w:customStyle="1" w:styleId="TextBoxBulletsLessSpace">
    <w:name w:val="Text Box Bullets Less Space"/>
    <w:basedOn w:val="Normal"/>
    <w:qFormat/>
    <w:rsid w:val="00D30F0F"/>
    <w:pPr>
      <w:spacing w:before="120" w:after="120"/>
      <w:ind w:left="357" w:hanging="357"/>
    </w:pPr>
    <w:rPr>
      <w:rFonts w:eastAsia="Times New Roman"/>
      <w:szCs w:val="24"/>
      <w:lang w:eastAsia="en-AU"/>
    </w:rPr>
  </w:style>
  <w:style w:type="paragraph" w:customStyle="1" w:styleId="TableTitle">
    <w:name w:val="Table Title"/>
    <w:basedOn w:val="Heading4"/>
    <w:uiPriority w:val="99"/>
    <w:rsid w:val="0075434A"/>
    <w:pPr>
      <w:suppressAutoHyphens/>
      <w:autoSpaceDE w:val="0"/>
      <w:autoSpaceDN w:val="0"/>
      <w:adjustRightInd w:val="0"/>
      <w:textAlignment w:val="center"/>
      <w:outlineLvl w:val="9"/>
    </w:pPr>
    <w:rPr>
      <w:rFonts w:eastAsia="Times New Roman" w:cs="HelveticaNeueLTStd-Bd"/>
      <w:sz w:val="20"/>
      <w:szCs w:val="20"/>
      <w:lang w:val="en-GB" w:eastAsia="zh-CN"/>
    </w:rPr>
  </w:style>
  <w:style w:type="paragraph" w:customStyle="1" w:styleId="TableText">
    <w:name w:val="Table Text"/>
    <w:basedOn w:val="Normal"/>
    <w:uiPriority w:val="99"/>
    <w:rsid w:val="00062345"/>
    <w:pPr>
      <w:widowControl w:val="0"/>
      <w:suppressAutoHyphens/>
      <w:autoSpaceDE w:val="0"/>
      <w:autoSpaceDN w:val="0"/>
      <w:adjustRightInd w:val="0"/>
      <w:spacing w:before="30" w:after="30"/>
      <w:textAlignment w:val="center"/>
    </w:pPr>
    <w:rPr>
      <w:rFonts w:eastAsia="Times New Roman" w:cs="HelveticaNeueLTStd-Lt"/>
      <w:sz w:val="20"/>
      <w:szCs w:val="18"/>
      <w:lang w:val="en-GB" w:eastAsia="zh-CN"/>
    </w:rPr>
  </w:style>
  <w:style w:type="paragraph" w:customStyle="1" w:styleId="TextBoxSubheading">
    <w:name w:val="Text Box Subheading"/>
    <w:basedOn w:val="TextBoxHeading"/>
    <w:qFormat/>
    <w:rsid w:val="00E17196"/>
    <w:pPr>
      <w:pBdr>
        <w:top w:val="none" w:sz="0" w:space="0" w:color="auto"/>
      </w:pBdr>
      <w:spacing w:before="120"/>
    </w:pPr>
    <w:rPr>
      <w:i/>
      <w:caps w:val="0"/>
    </w:rPr>
  </w:style>
  <w:style w:type="numbering" w:customStyle="1" w:styleId="ImportedStyle1">
    <w:name w:val="Imported Style 1"/>
    <w:rsid w:val="0075434A"/>
    <w:pPr>
      <w:numPr>
        <w:numId w:val="3"/>
      </w:numPr>
    </w:pPr>
  </w:style>
  <w:style w:type="numbering" w:customStyle="1" w:styleId="ImportedStyle2">
    <w:name w:val="Imported Style 2"/>
    <w:rsid w:val="0075434A"/>
    <w:pPr>
      <w:numPr>
        <w:numId w:val="4"/>
      </w:numPr>
    </w:pPr>
  </w:style>
  <w:style w:type="numbering" w:customStyle="1" w:styleId="ImportedStyle3">
    <w:name w:val="Imported Style 3"/>
    <w:rsid w:val="0075434A"/>
    <w:pPr>
      <w:numPr>
        <w:numId w:val="5"/>
      </w:numPr>
    </w:pPr>
  </w:style>
  <w:style w:type="numbering" w:customStyle="1" w:styleId="ImportedStyle4">
    <w:name w:val="Imported Style 4"/>
    <w:rsid w:val="0075434A"/>
    <w:pPr>
      <w:numPr>
        <w:numId w:val="6"/>
      </w:numPr>
    </w:pPr>
  </w:style>
  <w:style w:type="numbering" w:customStyle="1" w:styleId="ImportedStyle5">
    <w:name w:val="Imported Style 5"/>
    <w:rsid w:val="0075434A"/>
    <w:pPr>
      <w:numPr>
        <w:numId w:val="7"/>
      </w:numPr>
    </w:pPr>
  </w:style>
  <w:style w:type="numbering" w:customStyle="1" w:styleId="ImportedStyle6">
    <w:name w:val="Imported Style 6"/>
    <w:rsid w:val="0075434A"/>
    <w:pPr>
      <w:numPr>
        <w:numId w:val="8"/>
      </w:numPr>
    </w:pPr>
  </w:style>
  <w:style w:type="numbering" w:customStyle="1" w:styleId="ImportedStyle7">
    <w:name w:val="Imported Style 7"/>
    <w:rsid w:val="0075434A"/>
    <w:pPr>
      <w:numPr>
        <w:numId w:val="9"/>
      </w:numPr>
    </w:pPr>
  </w:style>
  <w:style w:type="numbering" w:customStyle="1" w:styleId="ImportedStyle8">
    <w:name w:val="Imported Style 8"/>
    <w:rsid w:val="0075434A"/>
    <w:pPr>
      <w:numPr>
        <w:numId w:val="10"/>
      </w:numPr>
    </w:pPr>
  </w:style>
  <w:style w:type="numbering" w:customStyle="1" w:styleId="ImportedStyle9">
    <w:name w:val="Imported Style 9"/>
    <w:rsid w:val="0075434A"/>
    <w:pPr>
      <w:numPr>
        <w:numId w:val="11"/>
      </w:numPr>
    </w:pPr>
  </w:style>
  <w:style w:type="numbering" w:customStyle="1" w:styleId="ImportedStyle10">
    <w:name w:val="Imported Style 10"/>
    <w:rsid w:val="0075434A"/>
    <w:pPr>
      <w:numPr>
        <w:numId w:val="12"/>
      </w:numPr>
    </w:pPr>
  </w:style>
  <w:style w:type="numbering" w:customStyle="1" w:styleId="ImportedStyle11">
    <w:name w:val="Imported Style 11"/>
    <w:rsid w:val="0075434A"/>
    <w:pPr>
      <w:numPr>
        <w:numId w:val="13"/>
      </w:numPr>
    </w:pPr>
  </w:style>
  <w:style w:type="numbering" w:customStyle="1" w:styleId="ImportedStyle12">
    <w:name w:val="Imported Style 12"/>
    <w:rsid w:val="0075434A"/>
    <w:pPr>
      <w:numPr>
        <w:numId w:val="14"/>
      </w:numPr>
    </w:pPr>
  </w:style>
  <w:style w:type="numbering" w:customStyle="1" w:styleId="ImportedStyle13">
    <w:name w:val="Imported Style 13"/>
    <w:rsid w:val="0075434A"/>
    <w:pPr>
      <w:numPr>
        <w:numId w:val="15"/>
      </w:numPr>
    </w:pPr>
  </w:style>
  <w:style w:type="numbering" w:customStyle="1" w:styleId="ImportedStyle14">
    <w:name w:val="Imported Style 14"/>
    <w:rsid w:val="0075434A"/>
    <w:pPr>
      <w:numPr>
        <w:numId w:val="16"/>
      </w:numPr>
    </w:pPr>
  </w:style>
  <w:style w:type="numbering" w:customStyle="1" w:styleId="ImportedStyle15">
    <w:name w:val="Imported Style 15"/>
    <w:rsid w:val="0075434A"/>
    <w:pPr>
      <w:numPr>
        <w:numId w:val="17"/>
      </w:numPr>
    </w:pPr>
  </w:style>
  <w:style w:type="numbering" w:customStyle="1" w:styleId="ImportedStyle16">
    <w:name w:val="Imported Style 16"/>
    <w:rsid w:val="0075434A"/>
    <w:pPr>
      <w:numPr>
        <w:numId w:val="18"/>
      </w:numPr>
    </w:pPr>
  </w:style>
  <w:style w:type="numbering" w:customStyle="1" w:styleId="ImportedStyle17">
    <w:name w:val="Imported Style 17"/>
    <w:rsid w:val="0075434A"/>
    <w:pPr>
      <w:numPr>
        <w:numId w:val="19"/>
      </w:numPr>
    </w:pPr>
  </w:style>
  <w:style w:type="numbering" w:customStyle="1" w:styleId="ImportedStyle18">
    <w:name w:val="Imported Style 18"/>
    <w:rsid w:val="0075434A"/>
    <w:pPr>
      <w:numPr>
        <w:numId w:val="20"/>
      </w:numPr>
    </w:pPr>
  </w:style>
  <w:style w:type="numbering" w:customStyle="1" w:styleId="ImportedStyle19">
    <w:name w:val="Imported Style 19"/>
    <w:rsid w:val="0075434A"/>
    <w:pPr>
      <w:numPr>
        <w:numId w:val="21"/>
      </w:numPr>
    </w:pPr>
  </w:style>
  <w:style w:type="numbering" w:customStyle="1" w:styleId="ImportedStyle20">
    <w:name w:val="Imported Style 20"/>
    <w:rsid w:val="0075434A"/>
    <w:pPr>
      <w:numPr>
        <w:numId w:val="22"/>
      </w:numPr>
    </w:pPr>
  </w:style>
  <w:style w:type="numbering" w:customStyle="1" w:styleId="ImportedStyle21">
    <w:name w:val="Imported Style 21"/>
    <w:rsid w:val="0075434A"/>
    <w:pPr>
      <w:numPr>
        <w:numId w:val="23"/>
      </w:numPr>
    </w:pPr>
  </w:style>
  <w:style w:type="numbering" w:customStyle="1" w:styleId="ImportedStyle22">
    <w:name w:val="Imported Style 22"/>
    <w:rsid w:val="0075434A"/>
    <w:pPr>
      <w:numPr>
        <w:numId w:val="24"/>
      </w:numPr>
    </w:pPr>
  </w:style>
  <w:style w:type="character" w:customStyle="1" w:styleId="Heading4Char">
    <w:name w:val="Heading 4 Char"/>
    <w:basedOn w:val="DefaultParagraphFont"/>
    <w:link w:val="Heading4"/>
    <w:rsid w:val="009C1DEE"/>
    <w:rPr>
      <w:rFonts w:ascii="Arial" w:eastAsia="Calibri" w:hAnsi="Arial"/>
      <w:b/>
      <w:bCs/>
      <w:sz w:val="24"/>
      <w:szCs w:val="28"/>
      <w:lang w:eastAsia="en-US"/>
    </w:rPr>
  </w:style>
  <w:style w:type="table" w:customStyle="1" w:styleId="LightShading-Accent11">
    <w:name w:val="Light Shading - Accent 11"/>
    <w:basedOn w:val="TableNormal"/>
    <w:uiPriority w:val="60"/>
    <w:rsid w:val="00367CEA"/>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qFormat/>
    <w:rsid w:val="000A5408"/>
    <w:pPr>
      <w:tabs>
        <w:tab w:val="center" w:pos="4320"/>
        <w:tab w:val="right" w:pos="8640"/>
      </w:tabs>
      <w:spacing w:before="0" w:after="0"/>
    </w:pPr>
  </w:style>
  <w:style w:type="character" w:customStyle="1" w:styleId="HeaderChar">
    <w:name w:val="Header Char"/>
    <w:basedOn w:val="DefaultParagraphFont"/>
    <w:link w:val="Header"/>
    <w:rsid w:val="000A5408"/>
    <w:rPr>
      <w:rFonts w:ascii="Arial" w:eastAsia="Calibri" w:hAnsi="Arial"/>
      <w:sz w:val="22"/>
      <w:szCs w:val="22"/>
      <w:lang w:eastAsia="en-US"/>
    </w:rPr>
  </w:style>
  <w:style w:type="paragraph" w:customStyle="1" w:styleId="TextBoxFirstLine">
    <w:name w:val="Text Box First Line"/>
    <w:basedOn w:val="TextBoxLastLine"/>
    <w:qFormat/>
    <w:rsid w:val="00B61044"/>
    <w:pPr>
      <w:pBdr>
        <w:top w:val="single" w:sz="4" w:space="6" w:color="0081C6"/>
        <w:bottom w:val="none" w:sz="0" w:space="0" w:color="auto"/>
      </w:pBdr>
    </w:pPr>
  </w:style>
  <w:style w:type="paragraph" w:styleId="ListParagraph">
    <w:name w:val="List Paragraph"/>
    <w:basedOn w:val="Normal"/>
    <w:uiPriority w:val="34"/>
    <w:qFormat/>
    <w:rsid w:val="0075434A"/>
    <w:pPr>
      <w:ind w:left="720"/>
      <w:contextualSpacing/>
    </w:pPr>
    <w:rPr>
      <w:rFonts w:eastAsia="Times New Roman"/>
      <w:sz w:val="24"/>
      <w:szCs w:val="24"/>
      <w:lang w:eastAsia="en-AU"/>
    </w:rPr>
  </w:style>
  <w:style w:type="character" w:styleId="PlaceholderText">
    <w:name w:val="Placeholder Text"/>
    <w:basedOn w:val="DefaultParagraphFont"/>
    <w:uiPriority w:val="99"/>
    <w:semiHidden/>
    <w:rsid w:val="0075434A"/>
    <w:rPr>
      <w:color w:val="808080"/>
    </w:rPr>
  </w:style>
  <w:style w:type="table" w:styleId="GridTable4-Accent5">
    <w:name w:val="Grid Table 4 Accent 5"/>
    <w:basedOn w:val="TableNormal"/>
    <w:uiPriority w:val="49"/>
    <w:rsid w:val="0075434A"/>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Continue4">
    <w:name w:val="List Continue 4"/>
    <w:basedOn w:val="Normal"/>
    <w:semiHidden/>
    <w:rsid w:val="0075434A"/>
    <w:pPr>
      <w:spacing w:before="0" w:after="120"/>
      <w:ind w:left="1132"/>
    </w:pPr>
    <w:rPr>
      <w:rFonts w:ascii="Times New Roman" w:eastAsia="Times New Roman" w:hAnsi="Times New Roman"/>
      <w:sz w:val="20"/>
      <w:szCs w:val="20"/>
    </w:rPr>
  </w:style>
  <w:style w:type="numbering" w:styleId="111111">
    <w:name w:val="Outline List 2"/>
    <w:basedOn w:val="NoList"/>
    <w:semiHidden/>
    <w:rsid w:val="0075434A"/>
    <w:pPr>
      <w:numPr>
        <w:numId w:val="61"/>
      </w:numPr>
    </w:pPr>
  </w:style>
  <w:style w:type="paragraph" w:styleId="EndnoteText">
    <w:name w:val="endnote text"/>
    <w:basedOn w:val="Normal"/>
    <w:link w:val="EndnoteTextChar"/>
    <w:semiHidden/>
    <w:rsid w:val="0075434A"/>
    <w:pPr>
      <w:spacing w:before="0" w:after="0"/>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75434A"/>
    <w:rPr>
      <w:lang w:eastAsia="en-US"/>
    </w:rPr>
  </w:style>
  <w:style w:type="character" w:styleId="EndnoteReference">
    <w:name w:val="endnote reference"/>
    <w:basedOn w:val="DefaultParagraphFont"/>
    <w:semiHidden/>
    <w:rsid w:val="0075434A"/>
    <w:rPr>
      <w:rFonts w:ascii="Arial" w:hAnsi="Arial"/>
      <w:sz w:val="20"/>
      <w:vertAlign w:val="superscript"/>
    </w:rPr>
  </w:style>
  <w:style w:type="numbering" w:styleId="1ai">
    <w:name w:val="Outline List 1"/>
    <w:basedOn w:val="NoList"/>
    <w:semiHidden/>
    <w:rsid w:val="0075434A"/>
    <w:pPr>
      <w:numPr>
        <w:numId w:val="62"/>
      </w:numPr>
    </w:pPr>
  </w:style>
  <w:style w:type="numbering" w:styleId="ArticleSection">
    <w:name w:val="Outline List 3"/>
    <w:basedOn w:val="NoList"/>
    <w:semiHidden/>
    <w:rsid w:val="0075434A"/>
    <w:pPr>
      <w:numPr>
        <w:numId w:val="63"/>
      </w:numPr>
    </w:pPr>
  </w:style>
  <w:style w:type="paragraph" w:styleId="BodyText2">
    <w:name w:val="Body Text 2"/>
    <w:basedOn w:val="Normal"/>
    <w:link w:val="BodyText2Char"/>
    <w:semiHidden/>
    <w:rsid w:val="0075434A"/>
    <w:pPr>
      <w:spacing w:before="0"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semiHidden/>
    <w:rsid w:val="0075434A"/>
    <w:rPr>
      <w:lang w:eastAsia="en-US"/>
    </w:rPr>
  </w:style>
  <w:style w:type="paragraph" w:styleId="BodyTextFirstIndent">
    <w:name w:val="Body Text First Indent"/>
    <w:basedOn w:val="Normal"/>
    <w:link w:val="BodyTextFirstIndentChar"/>
    <w:semiHidden/>
    <w:rsid w:val="00FE52D0"/>
    <w:pPr>
      <w:spacing w:before="0" w:after="120"/>
      <w:ind w:firstLine="210"/>
    </w:pPr>
    <w:rPr>
      <w:rFonts w:ascii="Times New Roman" w:eastAsia="Times New Roman" w:hAnsi="Times New Roman"/>
      <w:sz w:val="20"/>
      <w:szCs w:val="20"/>
    </w:rPr>
  </w:style>
  <w:style w:type="character" w:customStyle="1" w:styleId="BodyTextFirstIndentChar">
    <w:name w:val="Body Text First Indent Char"/>
    <w:basedOn w:val="DefaultParagraphFont"/>
    <w:link w:val="BodyTextFirstIndent"/>
    <w:semiHidden/>
    <w:rsid w:val="00FE52D0"/>
    <w:rPr>
      <w:lang w:eastAsia="en-US"/>
    </w:rPr>
  </w:style>
  <w:style w:type="paragraph" w:styleId="BodyTextIndent">
    <w:name w:val="Body Text Indent"/>
    <w:basedOn w:val="Normal"/>
    <w:link w:val="BodyTextIndentChar"/>
    <w:semiHidden/>
    <w:rsid w:val="0075434A"/>
    <w:pPr>
      <w:spacing w:before="0" w:after="120"/>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75434A"/>
    <w:rPr>
      <w:lang w:eastAsia="en-US"/>
    </w:rPr>
  </w:style>
  <w:style w:type="paragraph" w:styleId="BodyTextFirstIndent2">
    <w:name w:val="Body Text First Indent 2"/>
    <w:basedOn w:val="BodyTextIndent"/>
    <w:link w:val="BodyTextFirstIndent2Char"/>
    <w:semiHidden/>
    <w:rsid w:val="0075434A"/>
    <w:pPr>
      <w:ind w:firstLine="210"/>
    </w:pPr>
  </w:style>
  <w:style w:type="character" w:customStyle="1" w:styleId="BodyTextFirstIndent2Char">
    <w:name w:val="Body Text First Indent 2 Char"/>
    <w:basedOn w:val="BodyTextIndentChar"/>
    <w:link w:val="BodyTextFirstIndent2"/>
    <w:semiHidden/>
    <w:rsid w:val="0075434A"/>
    <w:rPr>
      <w:lang w:eastAsia="en-US"/>
    </w:rPr>
  </w:style>
  <w:style w:type="paragraph" w:styleId="Closing">
    <w:name w:val="Closing"/>
    <w:basedOn w:val="Normal"/>
    <w:link w:val="ClosingChar"/>
    <w:semiHidden/>
    <w:rsid w:val="0075434A"/>
    <w:pPr>
      <w:spacing w:before="0" w:after="0"/>
      <w:ind w:left="4252"/>
    </w:pPr>
    <w:rPr>
      <w:rFonts w:ascii="Times New Roman" w:eastAsia="Times New Roman" w:hAnsi="Times New Roman"/>
      <w:sz w:val="20"/>
      <w:szCs w:val="20"/>
    </w:rPr>
  </w:style>
  <w:style w:type="character" w:customStyle="1" w:styleId="ClosingChar">
    <w:name w:val="Closing Char"/>
    <w:basedOn w:val="DefaultParagraphFont"/>
    <w:link w:val="Closing"/>
    <w:semiHidden/>
    <w:rsid w:val="0075434A"/>
    <w:rPr>
      <w:lang w:eastAsia="en-US"/>
    </w:rPr>
  </w:style>
  <w:style w:type="paragraph" w:styleId="Date">
    <w:name w:val="Date"/>
    <w:basedOn w:val="Normal"/>
    <w:next w:val="Normal"/>
    <w:link w:val="DateChar"/>
    <w:semiHidden/>
    <w:rsid w:val="0075434A"/>
    <w:pPr>
      <w:spacing w:before="0" w:after="0"/>
    </w:pPr>
    <w:rPr>
      <w:rFonts w:ascii="Times New Roman" w:eastAsia="Times New Roman" w:hAnsi="Times New Roman"/>
      <w:sz w:val="20"/>
      <w:szCs w:val="20"/>
    </w:rPr>
  </w:style>
  <w:style w:type="character" w:customStyle="1" w:styleId="DateChar">
    <w:name w:val="Date Char"/>
    <w:basedOn w:val="DefaultParagraphFont"/>
    <w:link w:val="Date"/>
    <w:semiHidden/>
    <w:rsid w:val="0075434A"/>
    <w:rPr>
      <w:lang w:eastAsia="en-US"/>
    </w:rPr>
  </w:style>
  <w:style w:type="paragraph" w:styleId="E-mailSignature">
    <w:name w:val="E-mail Signature"/>
    <w:basedOn w:val="Normal"/>
    <w:link w:val="E-mailSignatureChar"/>
    <w:semiHidden/>
    <w:rsid w:val="0075434A"/>
    <w:pPr>
      <w:spacing w:before="0" w:after="0"/>
    </w:pPr>
    <w:rPr>
      <w:rFonts w:ascii="Times New Roman" w:eastAsia="Times New Roman" w:hAnsi="Times New Roman"/>
      <w:sz w:val="20"/>
      <w:szCs w:val="20"/>
    </w:rPr>
  </w:style>
  <w:style w:type="character" w:customStyle="1" w:styleId="E-mailSignatureChar">
    <w:name w:val="E-mail Signature Char"/>
    <w:basedOn w:val="DefaultParagraphFont"/>
    <w:link w:val="E-mailSignature"/>
    <w:semiHidden/>
    <w:rsid w:val="0075434A"/>
    <w:rPr>
      <w:lang w:eastAsia="en-US"/>
    </w:rPr>
  </w:style>
  <w:style w:type="paragraph" w:styleId="EnvelopeAddress">
    <w:name w:val="envelope address"/>
    <w:basedOn w:val="Normal"/>
    <w:semiHidden/>
    <w:rsid w:val="0075434A"/>
    <w:pPr>
      <w:framePr w:w="7920" w:h="1980" w:hRule="exact" w:hSpace="180" w:wrap="auto" w:hAnchor="page" w:xAlign="center" w:yAlign="bottom"/>
      <w:spacing w:before="0" w:after="0"/>
      <w:ind w:left="2880"/>
    </w:pPr>
    <w:rPr>
      <w:rFonts w:ascii="Times New Roman" w:eastAsia="Times New Roman" w:hAnsi="Times New Roman" w:cs="Arial"/>
      <w:sz w:val="20"/>
      <w:szCs w:val="20"/>
    </w:rPr>
  </w:style>
  <w:style w:type="paragraph" w:styleId="EnvelopeReturn">
    <w:name w:val="envelope return"/>
    <w:basedOn w:val="Normal"/>
    <w:semiHidden/>
    <w:rsid w:val="0075434A"/>
    <w:pPr>
      <w:spacing w:before="0" w:after="0"/>
    </w:pPr>
    <w:rPr>
      <w:rFonts w:ascii="Times New Roman" w:eastAsia="Times New Roman" w:hAnsi="Times New Roman" w:cs="Arial"/>
      <w:sz w:val="20"/>
      <w:szCs w:val="20"/>
    </w:rPr>
  </w:style>
  <w:style w:type="character" w:styleId="HTMLAcronym">
    <w:name w:val="HTML Acronym"/>
    <w:basedOn w:val="DefaultParagraphFont"/>
    <w:semiHidden/>
    <w:rsid w:val="0075434A"/>
  </w:style>
  <w:style w:type="paragraph" w:styleId="HTMLAddress">
    <w:name w:val="HTML Address"/>
    <w:basedOn w:val="Normal"/>
    <w:link w:val="HTMLAddressChar"/>
    <w:semiHidden/>
    <w:rsid w:val="0075434A"/>
    <w:pPr>
      <w:spacing w:before="0" w:after="0"/>
    </w:pPr>
    <w:rPr>
      <w:rFonts w:ascii="Times New Roman" w:eastAsia="Times New Roman" w:hAnsi="Times New Roman"/>
      <w:i/>
      <w:iCs/>
      <w:sz w:val="20"/>
      <w:szCs w:val="20"/>
    </w:rPr>
  </w:style>
  <w:style w:type="character" w:customStyle="1" w:styleId="HTMLAddressChar">
    <w:name w:val="HTML Address Char"/>
    <w:basedOn w:val="DefaultParagraphFont"/>
    <w:link w:val="HTMLAddress"/>
    <w:semiHidden/>
    <w:rsid w:val="0075434A"/>
    <w:rPr>
      <w:i/>
      <w:iCs/>
      <w:lang w:eastAsia="en-US"/>
    </w:rPr>
  </w:style>
  <w:style w:type="character" w:styleId="HTMLCite">
    <w:name w:val="HTML Cite"/>
    <w:basedOn w:val="DefaultParagraphFont"/>
    <w:semiHidden/>
    <w:rsid w:val="0075434A"/>
    <w:rPr>
      <w:i/>
      <w:iCs/>
    </w:rPr>
  </w:style>
  <w:style w:type="character" w:styleId="HTMLCode">
    <w:name w:val="HTML Code"/>
    <w:basedOn w:val="DefaultParagraphFont"/>
    <w:semiHidden/>
    <w:rsid w:val="0075434A"/>
    <w:rPr>
      <w:rFonts w:ascii="Courier New" w:hAnsi="Courier New" w:cs="Courier New"/>
      <w:sz w:val="20"/>
      <w:szCs w:val="20"/>
    </w:rPr>
  </w:style>
  <w:style w:type="character" w:styleId="HTMLDefinition">
    <w:name w:val="HTML Definition"/>
    <w:basedOn w:val="DefaultParagraphFont"/>
    <w:semiHidden/>
    <w:rsid w:val="0075434A"/>
    <w:rPr>
      <w:i/>
      <w:iCs/>
    </w:rPr>
  </w:style>
  <w:style w:type="character" w:styleId="HTMLKeyboard">
    <w:name w:val="HTML Keyboard"/>
    <w:basedOn w:val="DefaultParagraphFont"/>
    <w:semiHidden/>
    <w:rsid w:val="0075434A"/>
    <w:rPr>
      <w:rFonts w:ascii="Courier New" w:hAnsi="Courier New" w:cs="Courier New"/>
      <w:sz w:val="20"/>
      <w:szCs w:val="20"/>
    </w:rPr>
  </w:style>
  <w:style w:type="paragraph" w:styleId="HTMLPreformatted">
    <w:name w:val="HTML Preformatted"/>
    <w:basedOn w:val="Normal"/>
    <w:link w:val="HTMLPreformattedChar"/>
    <w:semiHidden/>
    <w:rsid w:val="0075434A"/>
    <w:pPr>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75434A"/>
    <w:rPr>
      <w:rFonts w:ascii="Courier New" w:hAnsi="Courier New" w:cs="Courier New"/>
      <w:lang w:eastAsia="en-US"/>
    </w:rPr>
  </w:style>
  <w:style w:type="character" w:styleId="HTMLSample">
    <w:name w:val="HTML Sample"/>
    <w:basedOn w:val="DefaultParagraphFont"/>
    <w:semiHidden/>
    <w:rsid w:val="0075434A"/>
    <w:rPr>
      <w:rFonts w:ascii="Courier New" w:hAnsi="Courier New" w:cs="Courier New"/>
    </w:rPr>
  </w:style>
  <w:style w:type="character" w:styleId="HTMLTypewriter">
    <w:name w:val="HTML Typewriter"/>
    <w:basedOn w:val="DefaultParagraphFont"/>
    <w:semiHidden/>
    <w:rsid w:val="0075434A"/>
    <w:rPr>
      <w:rFonts w:ascii="Courier New" w:hAnsi="Courier New" w:cs="Courier New"/>
      <w:sz w:val="20"/>
      <w:szCs w:val="20"/>
    </w:rPr>
  </w:style>
  <w:style w:type="character" w:styleId="HTMLVariable">
    <w:name w:val="HTML Variable"/>
    <w:basedOn w:val="DefaultParagraphFont"/>
    <w:semiHidden/>
    <w:rsid w:val="0075434A"/>
    <w:rPr>
      <w:i/>
      <w:iCs/>
    </w:rPr>
  </w:style>
  <w:style w:type="character" w:styleId="LineNumber">
    <w:name w:val="line number"/>
    <w:basedOn w:val="DefaultParagraphFont"/>
    <w:semiHidden/>
    <w:rsid w:val="0075434A"/>
  </w:style>
  <w:style w:type="numbering" w:customStyle="1" w:styleId="StyleNumbered">
    <w:name w:val="Style Numbered"/>
    <w:basedOn w:val="NoList"/>
    <w:semiHidden/>
    <w:rsid w:val="0075434A"/>
    <w:pPr>
      <w:numPr>
        <w:numId w:val="64"/>
      </w:numPr>
    </w:pPr>
  </w:style>
  <w:style w:type="paragraph" w:styleId="ListContinue">
    <w:name w:val="List Continue"/>
    <w:basedOn w:val="Normal"/>
    <w:semiHidden/>
    <w:rsid w:val="0075434A"/>
    <w:pPr>
      <w:spacing w:before="0" w:after="120"/>
      <w:ind w:left="283"/>
    </w:pPr>
    <w:rPr>
      <w:rFonts w:ascii="Times New Roman" w:eastAsia="Times New Roman" w:hAnsi="Times New Roman"/>
      <w:sz w:val="20"/>
      <w:szCs w:val="20"/>
    </w:rPr>
  </w:style>
  <w:style w:type="paragraph" w:styleId="ListContinue2">
    <w:name w:val="List Continue 2"/>
    <w:basedOn w:val="Normal"/>
    <w:semiHidden/>
    <w:rsid w:val="0075434A"/>
    <w:pPr>
      <w:spacing w:before="0" w:after="120"/>
      <w:ind w:left="566"/>
    </w:pPr>
    <w:rPr>
      <w:rFonts w:ascii="Times New Roman" w:eastAsia="Times New Roman" w:hAnsi="Times New Roman"/>
      <w:sz w:val="20"/>
      <w:szCs w:val="20"/>
    </w:rPr>
  </w:style>
  <w:style w:type="paragraph" w:styleId="ListContinue3">
    <w:name w:val="List Continue 3"/>
    <w:basedOn w:val="Normal"/>
    <w:semiHidden/>
    <w:rsid w:val="0075434A"/>
    <w:pPr>
      <w:spacing w:before="0" w:after="120"/>
      <w:ind w:left="849"/>
    </w:pPr>
    <w:rPr>
      <w:rFonts w:ascii="Times New Roman" w:eastAsia="Times New Roman" w:hAnsi="Times New Roman"/>
      <w:sz w:val="20"/>
      <w:szCs w:val="20"/>
    </w:rPr>
  </w:style>
  <w:style w:type="paragraph" w:styleId="ListContinue5">
    <w:name w:val="List Continue 5"/>
    <w:basedOn w:val="Normal"/>
    <w:semiHidden/>
    <w:rsid w:val="0075434A"/>
    <w:pPr>
      <w:spacing w:before="0" w:after="120"/>
      <w:ind w:left="1415"/>
    </w:pPr>
    <w:rPr>
      <w:rFonts w:ascii="Times New Roman" w:eastAsia="Times New Roman" w:hAnsi="Times New Roman"/>
      <w:sz w:val="20"/>
      <w:szCs w:val="20"/>
    </w:rPr>
  </w:style>
  <w:style w:type="paragraph" w:styleId="ListNumber">
    <w:name w:val="List Number"/>
    <w:basedOn w:val="Normal"/>
    <w:semiHidden/>
    <w:rsid w:val="0075434A"/>
    <w:pPr>
      <w:numPr>
        <w:numId w:val="56"/>
      </w:numPr>
      <w:spacing w:before="0" w:after="0"/>
    </w:pPr>
    <w:rPr>
      <w:rFonts w:ascii="Times New Roman" w:eastAsia="Times New Roman" w:hAnsi="Times New Roman"/>
      <w:sz w:val="20"/>
      <w:szCs w:val="20"/>
    </w:rPr>
  </w:style>
  <w:style w:type="paragraph" w:styleId="ListNumber5">
    <w:name w:val="List Number 5"/>
    <w:basedOn w:val="Normal"/>
    <w:semiHidden/>
    <w:rsid w:val="0075434A"/>
    <w:pPr>
      <w:numPr>
        <w:numId w:val="58"/>
      </w:numPr>
      <w:spacing w:before="0" w:after="0"/>
    </w:pPr>
    <w:rPr>
      <w:rFonts w:ascii="Times New Roman" w:eastAsia="Times New Roman" w:hAnsi="Times New Roman"/>
      <w:sz w:val="20"/>
      <w:szCs w:val="20"/>
    </w:rPr>
  </w:style>
  <w:style w:type="paragraph" w:styleId="MessageHeader">
    <w:name w:val="Message Header"/>
    <w:basedOn w:val="Normal"/>
    <w:link w:val="MessageHeaderChar"/>
    <w:semiHidden/>
    <w:rsid w:val="0075434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imes New Roman" w:eastAsia="Times New Roman" w:hAnsi="Times New Roman" w:cs="Arial"/>
      <w:sz w:val="20"/>
      <w:szCs w:val="20"/>
    </w:rPr>
  </w:style>
  <w:style w:type="character" w:customStyle="1" w:styleId="MessageHeaderChar">
    <w:name w:val="Message Header Char"/>
    <w:basedOn w:val="DefaultParagraphFont"/>
    <w:link w:val="MessageHeader"/>
    <w:semiHidden/>
    <w:rsid w:val="0075434A"/>
    <w:rPr>
      <w:rFonts w:cs="Arial"/>
      <w:shd w:val="pct20" w:color="auto" w:fill="auto"/>
      <w:lang w:eastAsia="en-US"/>
    </w:rPr>
  </w:style>
  <w:style w:type="paragraph" w:styleId="NormalWeb">
    <w:name w:val="Normal (Web)"/>
    <w:basedOn w:val="Normal"/>
    <w:semiHidden/>
    <w:rsid w:val="0075434A"/>
    <w:pPr>
      <w:spacing w:before="0" w:after="0"/>
    </w:pPr>
    <w:rPr>
      <w:rFonts w:ascii="Times New Roman" w:eastAsia="Times New Roman" w:hAnsi="Times New Roman"/>
      <w:sz w:val="20"/>
      <w:szCs w:val="20"/>
    </w:rPr>
  </w:style>
  <w:style w:type="paragraph" w:styleId="NoteHeading">
    <w:name w:val="Note Heading"/>
    <w:basedOn w:val="Normal"/>
    <w:next w:val="Normal"/>
    <w:link w:val="NoteHeadingChar"/>
    <w:semiHidden/>
    <w:rsid w:val="0075434A"/>
    <w:pPr>
      <w:spacing w:before="0" w:after="0"/>
    </w:pPr>
    <w:rPr>
      <w:rFonts w:ascii="Times New Roman" w:eastAsia="Times New Roman" w:hAnsi="Times New Roman"/>
      <w:sz w:val="20"/>
      <w:szCs w:val="20"/>
    </w:rPr>
  </w:style>
  <w:style w:type="character" w:customStyle="1" w:styleId="NoteHeadingChar">
    <w:name w:val="Note Heading Char"/>
    <w:basedOn w:val="DefaultParagraphFont"/>
    <w:link w:val="NoteHeading"/>
    <w:semiHidden/>
    <w:rsid w:val="0075434A"/>
    <w:rPr>
      <w:lang w:eastAsia="en-US"/>
    </w:rPr>
  </w:style>
  <w:style w:type="paragraph" w:styleId="PlainText">
    <w:name w:val="Plain Text"/>
    <w:basedOn w:val="Normal"/>
    <w:link w:val="PlainTextChar"/>
    <w:semiHidden/>
    <w:rsid w:val="0075434A"/>
    <w:pPr>
      <w:spacing w:before="0" w:after="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75434A"/>
    <w:rPr>
      <w:rFonts w:ascii="Courier New" w:hAnsi="Courier New" w:cs="Courier New"/>
      <w:lang w:eastAsia="en-US"/>
    </w:rPr>
  </w:style>
  <w:style w:type="paragraph" w:styleId="Salutation">
    <w:name w:val="Salutation"/>
    <w:basedOn w:val="Normal"/>
    <w:next w:val="Normal"/>
    <w:link w:val="SalutationChar"/>
    <w:semiHidden/>
    <w:rsid w:val="0075434A"/>
    <w:pPr>
      <w:spacing w:before="0" w:after="0"/>
    </w:pPr>
    <w:rPr>
      <w:rFonts w:ascii="Times New Roman" w:eastAsia="Times New Roman" w:hAnsi="Times New Roman"/>
      <w:sz w:val="20"/>
      <w:szCs w:val="20"/>
    </w:rPr>
  </w:style>
  <w:style w:type="character" w:customStyle="1" w:styleId="SalutationChar">
    <w:name w:val="Salutation Char"/>
    <w:basedOn w:val="DefaultParagraphFont"/>
    <w:link w:val="Salutation"/>
    <w:semiHidden/>
    <w:rsid w:val="0075434A"/>
    <w:rPr>
      <w:lang w:eastAsia="en-US"/>
    </w:rPr>
  </w:style>
  <w:style w:type="paragraph" w:styleId="Signature">
    <w:name w:val="Signature"/>
    <w:basedOn w:val="Normal"/>
    <w:link w:val="SignatureChar"/>
    <w:semiHidden/>
    <w:rsid w:val="0075434A"/>
    <w:pPr>
      <w:spacing w:before="0" w:after="0"/>
      <w:ind w:left="4252"/>
    </w:pPr>
    <w:rPr>
      <w:rFonts w:ascii="Times New Roman" w:eastAsia="Times New Roman" w:hAnsi="Times New Roman"/>
      <w:sz w:val="20"/>
      <w:szCs w:val="20"/>
    </w:rPr>
  </w:style>
  <w:style w:type="character" w:customStyle="1" w:styleId="SignatureChar">
    <w:name w:val="Signature Char"/>
    <w:basedOn w:val="DefaultParagraphFont"/>
    <w:link w:val="Signature"/>
    <w:semiHidden/>
    <w:rsid w:val="0075434A"/>
    <w:rPr>
      <w:lang w:eastAsia="en-US"/>
    </w:rPr>
  </w:style>
  <w:style w:type="table" w:styleId="Table3Deffects1">
    <w:name w:val="Table 3D effects 1"/>
    <w:basedOn w:val="TableNormal"/>
    <w:semiHidden/>
    <w:rsid w:val="0075434A"/>
    <w:pPr>
      <w:spacing w:after="240"/>
    </w:pPr>
    <w:rPr>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434A"/>
    <w:pPr>
      <w:spacing w:after="240"/>
    </w:pPr>
    <w:rPr>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434A"/>
    <w:pPr>
      <w:spacing w:after="240"/>
    </w:pPr>
    <w:rPr>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434A"/>
    <w:pPr>
      <w:spacing w:after="240"/>
    </w:pPr>
    <w:rPr>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434A"/>
    <w:pPr>
      <w:spacing w:after="240"/>
    </w:pPr>
    <w:rPr>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434A"/>
    <w:pPr>
      <w:spacing w:after="240"/>
    </w:pPr>
    <w:rPr>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434A"/>
    <w:pPr>
      <w:spacing w:after="240"/>
    </w:pPr>
    <w:rPr>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434A"/>
    <w:pPr>
      <w:spacing w:after="240"/>
    </w:pPr>
    <w:rPr>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434A"/>
    <w:pPr>
      <w:spacing w:after="240"/>
    </w:pPr>
    <w:rPr>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434A"/>
    <w:pPr>
      <w:spacing w:after="240"/>
    </w:pPr>
    <w:rPr>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434A"/>
    <w:pPr>
      <w:spacing w:after="240"/>
    </w:pPr>
    <w:rPr>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434A"/>
    <w:pPr>
      <w:spacing w:after="240"/>
    </w:pPr>
    <w:rPr>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434A"/>
    <w:pPr>
      <w:spacing w:after="240"/>
    </w:pPr>
    <w:rPr>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434A"/>
    <w:pPr>
      <w:spacing w:after="240"/>
    </w:pPr>
    <w:rPr>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434A"/>
    <w:pPr>
      <w:spacing w:after="240"/>
    </w:pPr>
    <w:rPr>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434A"/>
    <w:pPr>
      <w:spacing w:after="240"/>
    </w:pPr>
    <w:rPr>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434A"/>
    <w:pPr>
      <w:spacing w:after="240"/>
    </w:pPr>
    <w:rPr>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5434A"/>
    <w:pPr>
      <w:spacing w:after="240"/>
    </w:pPr>
    <w:rPr>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434A"/>
    <w:pPr>
      <w:spacing w:after="240"/>
    </w:pPr>
    <w:rPr>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434A"/>
    <w:pPr>
      <w:spacing w:after="240"/>
    </w:pPr>
    <w:rPr>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434A"/>
    <w:pPr>
      <w:spacing w:after="240"/>
    </w:pPr>
    <w:rPr>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434A"/>
    <w:pPr>
      <w:spacing w:after="240"/>
    </w:pPr>
    <w:rPr>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434A"/>
    <w:pPr>
      <w:spacing w:after="240"/>
    </w:pPr>
    <w:rPr>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434A"/>
    <w:pPr>
      <w:spacing w:after="240"/>
    </w:pPr>
    <w:rPr>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434A"/>
    <w:pPr>
      <w:spacing w:after="240"/>
    </w:pPr>
    <w:rPr>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434A"/>
    <w:pPr>
      <w:spacing w:after="240"/>
    </w:pPr>
    <w:rPr>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434A"/>
    <w:pPr>
      <w:spacing w:after="240"/>
    </w:pPr>
    <w:rPr>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434A"/>
    <w:pPr>
      <w:spacing w:after="240"/>
    </w:pPr>
    <w:rPr>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434A"/>
    <w:pPr>
      <w:spacing w:after="240"/>
    </w:pPr>
    <w:rPr>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434A"/>
    <w:pPr>
      <w:spacing w:after="240"/>
    </w:pPr>
    <w:rPr>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434A"/>
    <w:pPr>
      <w:spacing w:after="240"/>
    </w:pPr>
    <w:rPr>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434A"/>
    <w:pPr>
      <w:spacing w:after="240"/>
    </w:pPr>
    <w:rPr>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434A"/>
    <w:pPr>
      <w:spacing w:after="240"/>
    </w:pPr>
    <w:rPr>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434A"/>
    <w:pPr>
      <w:spacing w:after="240"/>
    </w:pPr>
    <w:rPr>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434A"/>
    <w:pPr>
      <w:spacing w:after="240"/>
    </w:pPr>
    <w:rPr>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434A"/>
    <w:pPr>
      <w:spacing w:after="240"/>
    </w:pPr>
    <w:rPr>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434A"/>
    <w:pPr>
      <w:spacing w:after="240"/>
    </w:pPr>
    <w:rPr>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434A"/>
    <w:pPr>
      <w:spacing w:after="240"/>
    </w:pPr>
    <w:rPr>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434A"/>
    <w:pPr>
      <w:spacing w:after="240"/>
    </w:pPr>
    <w:rPr>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434A"/>
    <w:pPr>
      <w:spacing w:after="240"/>
    </w:pPr>
    <w:rPr>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5434A"/>
    <w:pPr>
      <w:spacing w:after="240"/>
    </w:pPr>
    <w:rPr>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434A"/>
    <w:pPr>
      <w:spacing w:after="240"/>
    </w:pPr>
    <w:rPr>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434A"/>
    <w:pPr>
      <w:spacing w:after="240"/>
    </w:pPr>
    <w:rPr>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actdetails">
    <w:name w:val="Contact details"/>
    <w:basedOn w:val="Normal"/>
    <w:semiHidden/>
    <w:rsid w:val="0075434A"/>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10" w:lineRule="exact"/>
    </w:pPr>
    <w:rPr>
      <w:rFonts w:ascii="ArialMT" w:eastAsia="Times New Roman" w:hAnsi="ArialMT" w:cs="ArialMT"/>
      <w:sz w:val="20"/>
      <w:szCs w:val="20"/>
      <w:lang w:val="en-US" w:bidi="en-US"/>
    </w:rPr>
  </w:style>
  <w:style w:type="character" w:customStyle="1" w:styleId="CharChar9">
    <w:name w:val="Char Char9"/>
    <w:basedOn w:val="DefaultParagraphFont"/>
    <w:semiHidden/>
    <w:locked/>
    <w:rsid w:val="0075434A"/>
    <w:rPr>
      <w:rFonts w:ascii="Arial" w:hAnsi="Arial"/>
      <w:bCs/>
      <w:i/>
      <w:sz w:val="24"/>
      <w:szCs w:val="26"/>
      <w:lang w:val="en-AU" w:eastAsia="en-AU" w:bidi="ar-SA"/>
    </w:rPr>
  </w:style>
  <w:style w:type="character" w:customStyle="1" w:styleId="CharChar8">
    <w:name w:val="Char Char8"/>
    <w:basedOn w:val="DefaultParagraphFont"/>
    <w:semiHidden/>
    <w:locked/>
    <w:rsid w:val="0075434A"/>
    <w:rPr>
      <w:rFonts w:ascii="Arial" w:hAnsi="Arial"/>
      <w:iCs/>
      <w:sz w:val="24"/>
      <w:szCs w:val="26"/>
      <w:lang w:val="en-AU" w:eastAsia="en-AU" w:bidi="ar-SA"/>
    </w:rPr>
  </w:style>
  <w:style w:type="character" w:styleId="CommentReference">
    <w:name w:val="annotation reference"/>
    <w:basedOn w:val="DefaultParagraphFont"/>
    <w:semiHidden/>
    <w:unhideWhenUsed/>
    <w:rsid w:val="0075434A"/>
    <w:rPr>
      <w:sz w:val="16"/>
      <w:szCs w:val="16"/>
    </w:rPr>
  </w:style>
  <w:style w:type="paragraph" w:styleId="CommentText">
    <w:name w:val="annotation text"/>
    <w:basedOn w:val="Normal"/>
    <w:link w:val="CommentTextChar"/>
    <w:semiHidden/>
    <w:unhideWhenUsed/>
    <w:rsid w:val="0075434A"/>
    <w:pPr>
      <w:spacing w:before="0" w:after="0"/>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75434A"/>
    <w:rPr>
      <w:lang w:eastAsia="en-US"/>
    </w:rPr>
  </w:style>
  <w:style w:type="paragraph" w:styleId="CommentSubject">
    <w:name w:val="annotation subject"/>
    <w:basedOn w:val="CommentText"/>
    <w:next w:val="CommentText"/>
    <w:link w:val="CommentSubjectChar"/>
    <w:semiHidden/>
    <w:unhideWhenUsed/>
    <w:rsid w:val="0075434A"/>
    <w:rPr>
      <w:b/>
      <w:bCs/>
    </w:rPr>
  </w:style>
  <w:style w:type="character" w:customStyle="1" w:styleId="CommentSubjectChar">
    <w:name w:val="Comment Subject Char"/>
    <w:basedOn w:val="CommentTextChar"/>
    <w:link w:val="CommentSubject"/>
    <w:semiHidden/>
    <w:rsid w:val="0075434A"/>
    <w:rPr>
      <w:b/>
      <w:bCs/>
      <w:lang w:eastAsia="en-US"/>
    </w:rPr>
  </w:style>
  <w:style w:type="paragraph" w:customStyle="1" w:styleId="TableBullet">
    <w:name w:val="Table Bullet"/>
    <w:basedOn w:val="ListBulletNoIndentLessSpace"/>
    <w:qFormat/>
    <w:rsid w:val="00890675"/>
    <w:pPr>
      <w:spacing w:before="30" w:after="30"/>
      <w:ind w:left="284" w:hanging="284"/>
    </w:pPr>
    <w:rPr>
      <w:rFonts w:cstheme="minorBid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6898">
      <w:bodyDiv w:val="1"/>
      <w:marLeft w:val="0"/>
      <w:marRight w:val="0"/>
      <w:marTop w:val="0"/>
      <w:marBottom w:val="0"/>
      <w:divBdr>
        <w:top w:val="none" w:sz="0" w:space="0" w:color="auto"/>
        <w:left w:val="none" w:sz="0" w:space="0" w:color="auto"/>
        <w:bottom w:val="none" w:sz="0" w:space="0" w:color="auto"/>
        <w:right w:val="none" w:sz="0" w:space="0" w:color="auto"/>
      </w:divBdr>
    </w:div>
    <w:div w:id="10190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f%40asiapacificforum.net?subject=" TargetMode="External"/><Relationship Id="rId12" Type="http://schemas.openxmlformats.org/officeDocument/2006/relationships/hyperlink" Target="http://www.asiapacificforum.net" TargetMode="External"/><Relationship Id="rId13" Type="http://schemas.openxmlformats.org/officeDocument/2006/relationships/hyperlink" Target="mailto:registry.th@undp.org" TargetMode="External"/><Relationship Id="rId14" Type="http://schemas.openxmlformats.org/officeDocument/2006/relationships/hyperlink" Target="http://www.asia-pacific.undp.org"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asiapacificforum.net/resources/acj-report-sogi/" TargetMode="External"/><Relationship Id="rId4" Type="http://schemas.openxmlformats.org/officeDocument/2006/relationships/hyperlink" Target="http://www.asiapacificforum.net/support/training/sogisc/" TargetMode="External"/><Relationship Id="rId5" Type="http://schemas.openxmlformats.org/officeDocument/2006/relationships/hyperlink" Target="http://www.asiapacificforum.net/resources/manual-sogi-and-sex-charactersitics/" TargetMode="External"/><Relationship Id="rId1" Type="http://schemas.openxmlformats.org/officeDocument/2006/relationships/hyperlink" Target="http://www.yogyakartaprinciples.org/introduction/" TargetMode="External"/><Relationship Id="rId2" Type="http://schemas.openxmlformats.org/officeDocument/2006/relationships/hyperlink" Target="http://www.asiapacificforum.net/support/advice-and-expertise/acj/so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F%20Design%20work\Design%20work\Word%20Template\APF%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2468-DDB5-5F40-80E2-391C3F64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G:\APF Design work\Design work\Word Template\APF Report Template.dot</Template>
  <TotalTime>430</TotalTime>
  <Pages>67</Pages>
  <Words>24069</Words>
  <Characters>137196</Characters>
  <Application>Microsoft Macintosh Word</Application>
  <DocSecurity>0</DocSecurity>
  <Lines>2494</Lines>
  <Paragraphs>1177</Paragraphs>
  <ScaleCrop>false</ScaleCrop>
  <HeadingPairs>
    <vt:vector size="2" baseType="variant">
      <vt:variant>
        <vt:lpstr>Title</vt:lpstr>
      </vt:variant>
      <vt:variant>
        <vt:i4>1</vt:i4>
      </vt:variant>
    </vt:vector>
  </HeadingPairs>
  <TitlesOfParts>
    <vt:vector size="1" baseType="lpstr">
      <vt:lpstr>Celebrating 10 years of the Yogyakarta Principles: What have learnt and where to now?</vt:lpstr>
    </vt:vector>
  </TitlesOfParts>
  <Manager/>
  <Company/>
  <LinksUpToDate>false</LinksUpToDate>
  <CharactersWithSpaces>160088</CharactersWithSpaces>
  <SharedDoc>false</SharedDoc>
  <HyperlinkBase/>
  <HLinks>
    <vt:vector size="18" baseType="variant">
      <vt:variant>
        <vt:i4>1179705</vt:i4>
      </vt:variant>
      <vt:variant>
        <vt:i4>14</vt:i4>
      </vt:variant>
      <vt:variant>
        <vt:i4>0</vt:i4>
      </vt:variant>
      <vt:variant>
        <vt:i4>5</vt:i4>
      </vt:variant>
      <vt:variant>
        <vt:lpwstr/>
      </vt:variant>
      <vt:variant>
        <vt:lpwstr>_Toc278455637</vt:lpwstr>
      </vt:variant>
      <vt:variant>
        <vt:i4>1179705</vt:i4>
      </vt:variant>
      <vt:variant>
        <vt:i4>8</vt:i4>
      </vt:variant>
      <vt:variant>
        <vt:i4>0</vt:i4>
      </vt:variant>
      <vt:variant>
        <vt:i4>5</vt:i4>
      </vt:variant>
      <vt:variant>
        <vt:lpwstr/>
      </vt:variant>
      <vt:variant>
        <vt:lpwstr>_Toc278455636</vt:lpwstr>
      </vt:variant>
      <vt:variant>
        <vt:i4>1179705</vt:i4>
      </vt:variant>
      <vt:variant>
        <vt:i4>2</vt:i4>
      </vt:variant>
      <vt:variant>
        <vt:i4>0</vt:i4>
      </vt:variant>
      <vt:variant>
        <vt:i4>5</vt:i4>
      </vt:variant>
      <vt:variant>
        <vt:lpwstr/>
      </vt:variant>
      <vt:variant>
        <vt:lpwstr>_Toc278455635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10 years of the Yogyakarta Principles: What have learnt and where to now?</dc:title>
  <dc:subject/>
  <dc:creator>Asia Pacific Forum of National Human Rights Institutions</dc:creator>
  <cp:keywords/>
  <dc:description/>
  <cp:lastModifiedBy>Lisa Thompson</cp:lastModifiedBy>
  <cp:revision>31</cp:revision>
  <cp:lastPrinted>2017-08-25T02:09:00Z</cp:lastPrinted>
  <dcterms:created xsi:type="dcterms:W3CDTF">2017-08-22T23:42:00Z</dcterms:created>
  <dcterms:modified xsi:type="dcterms:W3CDTF">2017-08-28T02:10:00Z</dcterms:modified>
  <cp:category/>
</cp:coreProperties>
</file>