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023A1" w14:textId="12E6DBA5" w:rsidR="004A4132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 w:rsidRPr="003C0421">
        <w:rPr>
          <w:rFonts w:ascii="Arial" w:hAnsi="Arial" w:cs="Arial"/>
          <w:b/>
          <w:sz w:val="24"/>
          <w:highlight w:val="yellow"/>
        </w:rPr>
        <w:t>Entwurf</w:t>
      </w:r>
    </w:p>
    <w:p w14:paraId="50C8E704" w14:textId="77777777" w:rsidR="004A4132" w:rsidRDefault="004A4132" w:rsidP="009F6467">
      <w:pPr>
        <w:pStyle w:val="Heading1"/>
        <w:rPr>
          <w:rFonts w:ascii="Arial" w:hAnsi="Arial" w:cs="Arial"/>
          <w:b/>
          <w:sz w:val="24"/>
        </w:rPr>
      </w:pPr>
    </w:p>
    <w:p w14:paraId="465376CB" w14:textId="3F249748" w:rsidR="004A4132" w:rsidRPr="008F267F" w:rsidRDefault="008E33FB" w:rsidP="004A4132">
      <w:pPr>
        <w:rPr>
          <w:rFonts w:ascii="Arial" w:hAnsi="Arial" w:cs="Arial"/>
          <w:sz w:val="20"/>
          <w:szCs w:val="20"/>
          <w:u w:val="single"/>
        </w:rPr>
      </w:pPr>
      <w:r w:rsidRPr="008F267F">
        <w:rPr>
          <w:rFonts w:ascii="Arial" w:hAnsi="Arial" w:cs="Arial"/>
          <w:sz w:val="20"/>
          <w:szCs w:val="20"/>
          <w:u w:val="single"/>
        </w:rPr>
        <w:t xml:space="preserve">POSITAL erweitert </w:t>
      </w:r>
      <w:r w:rsidR="00531EC6" w:rsidRPr="008F267F">
        <w:rPr>
          <w:rFonts w:ascii="Arial" w:hAnsi="Arial" w:cs="Arial"/>
          <w:sz w:val="20"/>
          <w:szCs w:val="20"/>
          <w:u w:val="single"/>
        </w:rPr>
        <w:t>TILTIX-</w:t>
      </w:r>
      <w:r w:rsidRPr="008F267F">
        <w:rPr>
          <w:rFonts w:ascii="Arial" w:hAnsi="Arial" w:cs="Arial"/>
          <w:sz w:val="20"/>
          <w:szCs w:val="20"/>
          <w:u w:val="single"/>
        </w:rPr>
        <w:t xml:space="preserve">Portfolio </w:t>
      </w:r>
      <w:r w:rsidR="00531EC6" w:rsidRPr="008F267F">
        <w:rPr>
          <w:rFonts w:ascii="Arial" w:hAnsi="Arial" w:cs="Arial"/>
          <w:sz w:val="20"/>
          <w:szCs w:val="20"/>
          <w:u w:val="single"/>
        </w:rPr>
        <w:t xml:space="preserve">um Neigungssensoren in </w:t>
      </w:r>
      <w:r w:rsidR="00F15199">
        <w:rPr>
          <w:rFonts w:ascii="Arial" w:hAnsi="Arial" w:cs="Arial"/>
          <w:sz w:val="20"/>
          <w:szCs w:val="20"/>
          <w:u w:val="single"/>
        </w:rPr>
        <w:t>Ex</w:t>
      </w:r>
      <w:r w:rsidRPr="008F267F">
        <w:rPr>
          <w:rFonts w:ascii="Arial" w:hAnsi="Arial" w:cs="Arial"/>
          <w:sz w:val="20"/>
          <w:szCs w:val="20"/>
          <w:u w:val="single"/>
        </w:rPr>
        <w:t>-Schutzart</w:t>
      </w:r>
    </w:p>
    <w:p w14:paraId="0B012AA2" w14:textId="77777777" w:rsidR="004A4132" w:rsidRPr="004A4132" w:rsidRDefault="004A4132" w:rsidP="004A4132">
      <w:pPr>
        <w:rPr>
          <w:rFonts w:ascii="Arial" w:hAnsi="Arial" w:cs="Arial"/>
          <w:sz w:val="22"/>
          <w:szCs w:val="22"/>
        </w:rPr>
      </w:pPr>
    </w:p>
    <w:p w14:paraId="49C41D5F" w14:textId="15ED7CD9" w:rsidR="004A4132" w:rsidRDefault="00531EC6" w:rsidP="004A413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Sicher geschützt</w:t>
      </w:r>
      <w:r w:rsidR="008E33FB" w:rsidRPr="008E33FB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– Neigungssensoren </w:t>
      </w:r>
      <w:r w:rsidR="008E33FB" w:rsidRPr="008E33FB">
        <w:rPr>
          <w:rFonts w:ascii="Arial" w:hAnsi="Arial" w:cs="Arial"/>
          <w:b/>
          <w:sz w:val="22"/>
          <w:szCs w:val="22"/>
          <w:lang w:eastAsia="en-US"/>
        </w:rPr>
        <w:t>f</w:t>
      </w:r>
      <w:bookmarkStart w:id="0" w:name="_GoBack"/>
      <w:bookmarkEnd w:id="0"/>
      <w:r w:rsidR="008E33FB" w:rsidRPr="008E33FB">
        <w:rPr>
          <w:rFonts w:ascii="Arial" w:hAnsi="Arial" w:cs="Arial"/>
          <w:b/>
          <w:sz w:val="22"/>
          <w:szCs w:val="22"/>
          <w:lang w:eastAsia="en-US"/>
        </w:rPr>
        <w:t>ür explosionsgefährdete Bereiche</w:t>
      </w:r>
    </w:p>
    <w:p w14:paraId="27785ED9" w14:textId="4FDB6C65" w:rsidR="00531EC6" w:rsidRDefault="00EF6F49" w:rsidP="00531EC6">
      <w:pPr>
        <w:jc w:val="both"/>
      </w:pPr>
      <w:r>
        <w:t xml:space="preserve"> </w:t>
      </w:r>
    </w:p>
    <w:p w14:paraId="479E221D" w14:textId="1183E91C" w:rsidR="003F5F6D" w:rsidRPr="008F267F" w:rsidRDefault="00531EC6" w:rsidP="00531EC6">
      <w:pPr>
        <w:jc w:val="both"/>
        <w:rPr>
          <w:rFonts w:ascii="Arial" w:hAnsi="Arial" w:cs="Arial"/>
          <w:color w:val="800000"/>
          <w:sz w:val="20"/>
          <w:szCs w:val="20"/>
          <w:lang w:eastAsia="en-US"/>
        </w:rPr>
      </w:pPr>
      <w:r w:rsidRPr="008F267F">
        <w:rPr>
          <w:rFonts w:ascii="Arial" w:hAnsi="Arial" w:cs="Arial"/>
          <w:b/>
          <w:color w:val="800000"/>
          <w:sz w:val="20"/>
          <w:szCs w:val="20"/>
        </w:rPr>
        <w:t xml:space="preserve">Köln, im Januar 2020 </w:t>
      </w:r>
      <w:r w:rsidRPr="008F267F">
        <w:rPr>
          <w:rFonts w:ascii="Arial" w:hAnsi="Arial" w:cs="Arial"/>
          <w:color w:val="800000"/>
          <w:sz w:val="20"/>
          <w:szCs w:val="20"/>
        </w:rPr>
        <w:t>–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POSITAL hat </w:t>
      </w:r>
      <w:r w:rsidR="00D96157" w:rsidRPr="008F267F">
        <w:rPr>
          <w:rFonts w:ascii="Arial" w:hAnsi="Arial" w:cs="Arial"/>
          <w:color w:val="800000"/>
          <w:sz w:val="20"/>
          <w:szCs w:val="20"/>
          <w:lang w:eastAsia="en-US"/>
        </w:rPr>
        <w:t>die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D96157" w:rsidRPr="008F267F">
        <w:rPr>
          <w:rFonts w:ascii="Arial" w:hAnsi="Arial" w:cs="Arial"/>
          <w:color w:val="800000"/>
          <w:sz w:val="20"/>
          <w:szCs w:val="20"/>
          <w:lang w:eastAsia="en-US"/>
        </w:rPr>
        <w:t>Produktfamilie der TILTIX-Neigungssensoren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3F5F6D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gezielt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>um explosionsgeschützte Modelle erweitert, die für den sicheren Betrieb in Umgebungen mit potenziell gefährlichen Konzentrationen von explosivem Staub oder Gasen ausgelegt sind. Die</w:t>
      </w:r>
      <w:r w:rsidR="00D96157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besonders geschützten </w:t>
      </w:r>
      <w:r w:rsidR="003F5F6D" w:rsidRPr="008F267F">
        <w:rPr>
          <w:rFonts w:ascii="Arial" w:hAnsi="Arial" w:cs="Arial"/>
          <w:color w:val="800000"/>
          <w:sz w:val="20"/>
          <w:szCs w:val="20"/>
          <w:lang w:eastAsia="en-US"/>
        </w:rPr>
        <w:t>TILTIX-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>Geräte wurden gemäß den IEC</w:t>
      </w:r>
      <w:r w:rsidR="003C0421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Ex- und ATEX-Richtlinien zertifiziert und eignen sich für </w:t>
      </w:r>
      <w:r w:rsidR="00D96157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Anwendungen in den Bereichen Bergbau und Landwirtschaft, Öl- und Gasindustrie, Chemie, Holzverarbeitung </w:t>
      </w:r>
      <w:r w:rsidR="003F5F6D" w:rsidRPr="008F267F">
        <w:rPr>
          <w:rFonts w:ascii="Arial" w:hAnsi="Arial" w:cs="Arial"/>
          <w:color w:val="800000"/>
          <w:sz w:val="20"/>
          <w:szCs w:val="20"/>
          <w:lang w:eastAsia="en-US"/>
        </w:rPr>
        <w:t>sowie in Mühlen und Mahlanlagen.</w:t>
      </w:r>
    </w:p>
    <w:p w14:paraId="065F9A18" w14:textId="77777777" w:rsidR="00F63380" w:rsidRPr="008F267F" w:rsidRDefault="00F63380" w:rsidP="00F63380">
      <w:pPr>
        <w:jc w:val="both"/>
        <w:rPr>
          <w:rFonts w:ascii="Arial" w:hAnsi="Arial" w:cs="Arial"/>
          <w:color w:val="800000"/>
          <w:sz w:val="20"/>
          <w:szCs w:val="20"/>
          <w:lang w:eastAsia="en-US"/>
        </w:rPr>
      </w:pPr>
    </w:p>
    <w:p w14:paraId="3ED4ED26" w14:textId="79CC7208" w:rsidR="001D62A2" w:rsidRPr="008F267F" w:rsidRDefault="009128AC" w:rsidP="00F63380">
      <w:pPr>
        <w:jc w:val="both"/>
        <w:rPr>
          <w:rFonts w:ascii="Arial" w:hAnsi="Arial"/>
          <w:color w:val="800000"/>
          <w:sz w:val="20"/>
          <w:szCs w:val="20"/>
        </w:rPr>
      </w:pP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Die explosionsgeschützten </w:t>
      </w:r>
      <w:r w:rsidR="00F63380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TILTIX-Neigungssensoren sind so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>konstruiert</w:t>
      </w:r>
      <w:r w:rsidR="006846B4" w:rsidRPr="008F267F">
        <w:rPr>
          <w:rFonts w:ascii="Arial" w:hAnsi="Arial" w:cs="Arial"/>
          <w:color w:val="800000"/>
          <w:sz w:val="20"/>
          <w:szCs w:val="20"/>
          <w:lang w:eastAsia="en-US"/>
        </w:rPr>
        <w:t>,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6846B4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dass sie eigensicher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>sind. Sichergestellt ist,</w:t>
      </w:r>
      <w:r w:rsidR="001D62A2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dass keine freiliegenden elektrischen Komponenten vorhanden sind, die </w:t>
      </w:r>
      <w:r w:rsidR="00F63380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bei entflammbarem Staub oder brennbaren Gasen </w:t>
      </w:r>
      <w:r w:rsidR="001D62A2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– etwa durch Funkenflug oder Kurzschluss – </w:t>
      </w:r>
      <w:r w:rsidR="00F63380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Feuer oder Explosionen auslösen könnten. </w:t>
      </w:r>
      <w:r w:rsidR="00717C41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Zertifizierungen liegen für den Einsatz im Untertagebau bzw. in Bergwerken (Gruppe I, Ex I M2 Ex e </w:t>
      </w:r>
      <w:proofErr w:type="spellStart"/>
      <w:r w:rsidR="00717C41" w:rsidRPr="008F267F">
        <w:rPr>
          <w:rFonts w:ascii="Arial" w:hAnsi="Arial" w:cs="Arial"/>
          <w:color w:val="800000"/>
          <w:sz w:val="20"/>
          <w:szCs w:val="20"/>
          <w:lang w:eastAsia="en-US"/>
        </w:rPr>
        <w:t>mb</w:t>
      </w:r>
      <w:proofErr w:type="spellEnd"/>
      <w:r w:rsidR="00717C41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I </w:t>
      </w:r>
      <w:proofErr w:type="spellStart"/>
      <w:r w:rsidR="00717C41" w:rsidRPr="008F267F">
        <w:rPr>
          <w:rFonts w:ascii="Arial" w:hAnsi="Arial" w:cs="Arial"/>
          <w:color w:val="800000"/>
          <w:sz w:val="20"/>
          <w:szCs w:val="20"/>
          <w:lang w:eastAsia="en-US"/>
        </w:rPr>
        <w:t>Mb</w:t>
      </w:r>
      <w:proofErr w:type="spellEnd"/>
      <w:r w:rsidR="00717C41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) sowie </w:t>
      </w:r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>in</w:t>
      </w:r>
      <w:r w:rsidR="00717C41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oberirdischen</w:t>
      </w:r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Anlagen (Gruppe II)</w:t>
      </w:r>
      <w:r w:rsidR="006846B4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vor</w:t>
      </w:r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, wobei nach explosiven Gasen (EX II 2G Ex e </w:t>
      </w:r>
      <w:proofErr w:type="spellStart"/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>mb</w:t>
      </w:r>
      <w:proofErr w:type="spellEnd"/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proofErr w:type="spellStart"/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>IIc</w:t>
      </w:r>
      <w:proofErr w:type="spellEnd"/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TX </w:t>
      </w:r>
      <w:proofErr w:type="spellStart"/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>Gb</w:t>
      </w:r>
      <w:proofErr w:type="spellEnd"/>
      <w:r w:rsidR="008E2FBB" w:rsidRPr="008F267F">
        <w:rPr>
          <w:rFonts w:ascii="Arial" w:hAnsi="Arial" w:cs="Arial"/>
          <w:color w:val="800000"/>
          <w:sz w:val="20"/>
          <w:szCs w:val="20"/>
          <w:lang w:eastAsia="en-US"/>
        </w:rPr>
        <w:t>) und brennbarem Staub (</w:t>
      </w:r>
      <w:r w:rsidR="008E2FBB" w:rsidRPr="008F267F">
        <w:rPr>
          <w:rFonts w:ascii="Arial" w:hAnsi="Arial"/>
          <w:color w:val="800000"/>
          <w:sz w:val="20"/>
          <w:szCs w:val="20"/>
        </w:rPr>
        <w:t xml:space="preserve">EX II 1D Ex </w:t>
      </w:r>
      <w:proofErr w:type="spellStart"/>
      <w:r w:rsidR="008E2FBB" w:rsidRPr="008F267F">
        <w:rPr>
          <w:rFonts w:ascii="Arial" w:hAnsi="Arial"/>
          <w:color w:val="800000"/>
          <w:sz w:val="20"/>
          <w:szCs w:val="20"/>
        </w:rPr>
        <w:t>ta</w:t>
      </w:r>
      <w:proofErr w:type="spellEnd"/>
      <w:r w:rsidR="008E2FBB" w:rsidRPr="008F267F">
        <w:rPr>
          <w:rFonts w:ascii="Arial" w:hAnsi="Arial"/>
          <w:color w:val="800000"/>
          <w:sz w:val="20"/>
          <w:szCs w:val="20"/>
        </w:rPr>
        <w:t xml:space="preserve"> IIIC TX Da IP65) </w:t>
      </w:r>
      <w:r w:rsidR="006846B4" w:rsidRPr="008F267F">
        <w:rPr>
          <w:rFonts w:ascii="Arial" w:hAnsi="Arial"/>
          <w:color w:val="800000"/>
          <w:sz w:val="20"/>
          <w:szCs w:val="20"/>
        </w:rPr>
        <w:t>unterschieden wird.</w:t>
      </w:r>
    </w:p>
    <w:p w14:paraId="6C805CCE" w14:textId="77777777" w:rsidR="00406073" w:rsidRPr="008F267F" w:rsidRDefault="00406073" w:rsidP="00F63380">
      <w:pPr>
        <w:jc w:val="both"/>
        <w:rPr>
          <w:rFonts w:ascii="Arial" w:hAnsi="Arial"/>
          <w:color w:val="800000"/>
          <w:sz w:val="20"/>
          <w:szCs w:val="20"/>
        </w:rPr>
      </w:pPr>
    </w:p>
    <w:p w14:paraId="2A7B99DB" w14:textId="7373E477" w:rsidR="00B820F5" w:rsidRPr="008F267F" w:rsidRDefault="00406073" w:rsidP="00F15199">
      <w:pPr>
        <w:jc w:val="both"/>
        <w:rPr>
          <w:rFonts w:ascii="Arial" w:hAnsi="Arial"/>
          <w:color w:val="800000"/>
          <w:sz w:val="20"/>
          <w:szCs w:val="20"/>
        </w:rPr>
      </w:pP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Wie andere TILTIX-Neigungssensoren </w:t>
      </w:r>
      <w:r w:rsidR="00C23E6E" w:rsidRPr="008F267F">
        <w:rPr>
          <w:rFonts w:ascii="Arial" w:hAnsi="Arial" w:cs="Arial"/>
          <w:color w:val="800000"/>
          <w:sz w:val="20"/>
          <w:szCs w:val="20"/>
          <w:lang w:eastAsia="en-US"/>
        </w:rPr>
        <w:t>bieten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die </w:t>
      </w:r>
      <w:r w:rsidR="003C0421">
        <w:rPr>
          <w:rFonts w:ascii="Arial" w:hAnsi="Arial" w:cs="Arial"/>
          <w:color w:val="800000"/>
          <w:sz w:val="20"/>
          <w:szCs w:val="20"/>
          <w:lang w:eastAsia="en-US"/>
        </w:rPr>
        <w:t>E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x-geschützten Modelle </w:t>
      </w:r>
      <w:r w:rsidRPr="008F267F">
        <w:rPr>
          <w:rFonts w:ascii="Arial" w:hAnsi="Arial"/>
          <w:color w:val="800000"/>
          <w:sz w:val="20"/>
          <w:szCs w:val="20"/>
        </w:rPr>
        <w:t xml:space="preserve">einen Messbereich von </w:t>
      </w:r>
      <w:r w:rsidR="00F15199" w:rsidRPr="00F15199">
        <w:rPr>
          <w:rFonts w:ascii="Arial" w:hAnsi="Arial"/>
          <w:color w:val="800000"/>
          <w:sz w:val="20"/>
          <w:szCs w:val="20"/>
          <w:u w:val="single"/>
        </w:rPr>
        <w:t>+</w:t>
      </w:r>
      <w:r w:rsidRPr="008F267F">
        <w:rPr>
          <w:rFonts w:ascii="Arial" w:hAnsi="Arial"/>
          <w:color w:val="800000"/>
          <w:sz w:val="20"/>
          <w:szCs w:val="20"/>
        </w:rPr>
        <w:t>80° in zweiachsiger</w:t>
      </w:r>
      <w:r w:rsidR="00C23E6E" w:rsidRPr="008F267F">
        <w:rPr>
          <w:rFonts w:ascii="Arial" w:hAnsi="Arial"/>
          <w:color w:val="800000"/>
          <w:sz w:val="20"/>
          <w:szCs w:val="20"/>
        </w:rPr>
        <w:t xml:space="preserve"> </w:t>
      </w:r>
      <w:r w:rsidRPr="008F267F">
        <w:rPr>
          <w:rFonts w:ascii="Arial" w:hAnsi="Arial"/>
          <w:color w:val="800000"/>
          <w:sz w:val="20"/>
          <w:szCs w:val="20"/>
        </w:rPr>
        <w:t xml:space="preserve"> bzw. 360° in einachsiger Ausführung </w:t>
      </w:r>
      <w:r w:rsidR="00C23E6E" w:rsidRPr="008F267F">
        <w:rPr>
          <w:rFonts w:ascii="Arial" w:hAnsi="Arial"/>
          <w:color w:val="800000"/>
          <w:sz w:val="20"/>
          <w:szCs w:val="20"/>
        </w:rPr>
        <w:t xml:space="preserve">und eine </w:t>
      </w:r>
      <w:r w:rsidRPr="008F267F">
        <w:rPr>
          <w:rFonts w:ascii="Arial" w:hAnsi="Arial"/>
          <w:color w:val="800000"/>
          <w:sz w:val="20"/>
          <w:szCs w:val="20"/>
        </w:rPr>
        <w:t>Auflösung von 0,01°</w:t>
      </w:r>
      <w:r w:rsidR="00C23E6E" w:rsidRPr="008F267F">
        <w:rPr>
          <w:rFonts w:ascii="Arial" w:hAnsi="Arial"/>
          <w:color w:val="800000"/>
          <w:sz w:val="20"/>
          <w:szCs w:val="20"/>
        </w:rPr>
        <w:t xml:space="preserve">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Die Genauigkeit beträgt bis zu </w:t>
      </w:r>
      <w:r w:rsidR="00C23E6E" w:rsidRPr="008F267F">
        <w:rPr>
          <w:rFonts w:ascii="Arial" w:hAnsi="Arial" w:cs="Arial"/>
          <w:color w:val="800000"/>
          <w:sz w:val="20"/>
          <w:szCs w:val="20"/>
          <w:lang w:eastAsia="en-US"/>
        </w:rPr>
        <w:t>0,1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°. </w:t>
      </w:r>
      <w:r w:rsidR="00C23E6E" w:rsidRPr="008F267F">
        <w:rPr>
          <w:rFonts w:ascii="Arial" w:hAnsi="Arial"/>
          <w:color w:val="800000"/>
          <w:sz w:val="20"/>
          <w:szCs w:val="20"/>
        </w:rPr>
        <w:t xml:space="preserve">Als Kommunikationsschnittstellen stehen </w:t>
      </w:r>
      <w:proofErr w:type="spellStart"/>
      <w:r w:rsidR="00C23E6E" w:rsidRPr="008F267F">
        <w:rPr>
          <w:rFonts w:ascii="Arial" w:hAnsi="Arial"/>
          <w:color w:val="800000"/>
          <w:sz w:val="20"/>
          <w:szCs w:val="20"/>
        </w:rPr>
        <w:t>DeviceNet</w:t>
      </w:r>
      <w:proofErr w:type="spellEnd"/>
      <w:r w:rsidR="00C23E6E" w:rsidRPr="008F267F">
        <w:rPr>
          <w:rFonts w:ascii="Arial" w:hAnsi="Arial"/>
          <w:color w:val="800000"/>
          <w:sz w:val="20"/>
          <w:szCs w:val="20"/>
        </w:rPr>
        <w:t xml:space="preserve">, </w:t>
      </w:r>
      <w:proofErr w:type="spellStart"/>
      <w:r w:rsidR="00C23E6E" w:rsidRPr="008F267F">
        <w:rPr>
          <w:rFonts w:ascii="Arial" w:hAnsi="Arial"/>
          <w:color w:val="800000"/>
          <w:sz w:val="20"/>
          <w:szCs w:val="20"/>
        </w:rPr>
        <w:t>CANopen</w:t>
      </w:r>
      <w:proofErr w:type="spellEnd"/>
      <w:r w:rsidR="00C23E6E" w:rsidRPr="008F267F">
        <w:rPr>
          <w:rFonts w:ascii="Arial" w:hAnsi="Arial"/>
          <w:color w:val="800000"/>
          <w:sz w:val="20"/>
          <w:szCs w:val="20"/>
        </w:rPr>
        <w:t xml:space="preserve">, </w:t>
      </w:r>
      <w:proofErr w:type="spellStart"/>
      <w:r w:rsidR="00C23E6E" w:rsidRPr="008F267F">
        <w:rPr>
          <w:rFonts w:ascii="Arial" w:hAnsi="Arial"/>
          <w:color w:val="800000"/>
          <w:sz w:val="20"/>
          <w:szCs w:val="20"/>
        </w:rPr>
        <w:t>Modbus</w:t>
      </w:r>
      <w:proofErr w:type="spellEnd"/>
      <w:r w:rsidR="00C23E6E" w:rsidRPr="008F267F">
        <w:rPr>
          <w:rFonts w:ascii="Arial" w:hAnsi="Arial"/>
          <w:color w:val="800000"/>
          <w:sz w:val="20"/>
          <w:szCs w:val="20"/>
        </w:rPr>
        <w:t xml:space="preserve"> RTU, SSI oder ein Analogausgang zur Verfügung. Die Analogmodelle sind für einen festgelegten Bewegungsbereich programmierbar und decken den vollen elektrischen Leistungsbereich ab.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Dies kann die </w:t>
      </w:r>
      <w:r w:rsidR="00C23E6E" w:rsidRPr="008F267F">
        <w:rPr>
          <w:rFonts w:ascii="Arial" w:hAnsi="Arial" w:cs="Arial"/>
          <w:color w:val="800000"/>
          <w:sz w:val="20"/>
          <w:szCs w:val="20"/>
          <w:lang w:eastAsia="en-US"/>
        </w:rPr>
        <w:t>Performance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des Steuerungssystems erheblich verbessern. </w:t>
      </w:r>
      <w:r w:rsidR="00B820F5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Die TILTIX-Sensoren </w:t>
      </w:r>
      <w:r w:rsidR="003C0421">
        <w:rPr>
          <w:rFonts w:ascii="Arial" w:hAnsi="Arial" w:cs="Arial"/>
          <w:color w:val="800000"/>
          <w:sz w:val="20"/>
          <w:szCs w:val="20"/>
          <w:lang w:eastAsia="en-US"/>
        </w:rPr>
        <w:t xml:space="preserve">mit Ex-Schutz </w:t>
      </w:r>
      <w:r w:rsidR="00B820F5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verfügen über robuste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Gehäuse aus Aluminium oder Edelstahl </w:t>
      </w:r>
      <w:r w:rsidR="00C23E6E" w:rsidRPr="00A40260">
        <w:rPr>
          <w:rFonts w:ascii="Arial" w:hAnsi="Arial" w:cs="Arial"/>
          <w:color w:val="800000"/>
          <w:sz w:val="20"/>
          <w:szCs w:val="20"/>
          <w:lang w:eastAsia="en-US"/>
        </w:rPr>
        <w:t xml:space="preserve">(303 </w:t>
      </w:r>
      <w:r w:rsidR="00F15199" w:rsidRPr="00A40260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C23E6E" w:rsidRPr="00A40260">
        <w:rPr>
          <w:rFonts w:ascii="Arial" w:hAnsi="Arial" w:cs="Arial"/>
          <w:color w:val="800000"/>
          <w:sz w:val="20"/>
          <w:szCs w:val="20"/>
          <w:lang w:eastAsia="en-US"/>
        </w:rPr>
        <w:t xml:space="preserve">&amp; </w:t>
      </w:r>
      <w:r w:rsidRPr="00A40260">
        <w:rPr>
          <w:rFonts w:ascii="Arial" w:hAnsi="Arial" w:cs="Arial"/>
          <w:color w:val="800000"/>
          <w:sz w:val="20"/>
          <w:szCs w:val="20"/>
          <w:lang w:eastAsia="en-US"/>
        </w:rPr>
        <w:t xml:space="preserve">316 </w:t>
      </w:r>
      <w:r w:rsidR="00C23E6E" w:rsidRPr="00A40260">
        <w:rPr>
          <w:rFonts w:ascii="Arial" w:hAnsi="Arial" w:cs="Arial"/>
          <w:color w:val="800000"/>
          <w:sz w:val="20"/>
          <w:szCs w:val="20"/>
          <w:lang w:eastAsia="en-US"/>
        </w:rPr>
        <w:t>AISI</w:t>
      </w:r>
      <w:r w:rsidR="00B820F5" w:rsidRPr="00A40260">
        <w:rPr>
          <w:rFonts w:ascii="Arial" w:hAnsi="Arial" w:cs="Arial"/>
          <w:color w:val="800000"/>
          <w:sz w:val="20"/>
          <w:szCs w:val="20"/>
          <w:lang w:eastAsia="en-US"/>
        </w:rPr>
        <w:t>).</w:t>
      </w:r>
      <w:r w:rsidR="00B820F5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Auf Anfrage sind auch andere Materialien erhältlich.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Die </w:t>
      </w:r>
      <w:r w:rsidR="00B820F5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explosionsgeschützten und druckfesten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>Gehäuse haben eine Schutzart von bis zu IP67.</w:t>
      </w:r>
      <w:r w:rsidR="00B820F5" w:rsidRPr="008F267F">
        <w:rPr>
          <w:rFonts w:ascii="Arial" w:hAnsi="Arial"/>
          <w:color w:val="800000"/>
          <w:sz w:val="20"/>
          <w:szCs w:val="20"/>
        </w:rPr>
        <w:t xml:space="preserve"> </w:t>
      </w:r>
    </w:p>
    <w:p w14:paraId="7FAE8D6B" w14:textId="77777777" w:rsidR="00B820F5" w:rsidRPr="008F267F" w:rsidRDefault="00B820F5" w:rsidP="00406073">
      <w:pPr>
        <w:jc w:val="both"/>
        <w:rPr>
          <w:rFonts w:ascii="Arial" w:hAnsi="Arial"/>
          <w:color w:val="800000"/>
          <w:sz w:val="20"/>
          <w:szCs w:val="20"/>
        </w:rPr>
      </w:pPr>
    </w:p>
    <w:p w14:paraId="05CDEB67" w14:textId="0B61A7C2" w:rsidR="008F267F" w:rsidRPr="008F267F" w:rsidRDefault="008E33FB" w:rsidP="008F267F">
      <w:pPr>
        <w:jc w:val="both"/>
        <w:rPr>
          <w:rFonts w:ascii="Arial" w:hAnsi="Arial" w:cs="Arial"/>
          <w:color w:val="800000"/>
          <w:sz w:val="20"/>
          <w:szCs w:val="20"/>
        </w:rPr>
      </w:pP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POSITAL erleichtert es Kunden, </w:t>
      </w:r>
      <w:r w:rsidR="00B820F5" w:rsidRPr="008F267F">
        <w:rPr>
          <w:rFonts w:ascii="Arial" w:hAnsi="Arial" w:cs="Arial"/>
          <w:color w:val="800000"/>
          <w:sz w:val="20"/>
          <w:szCs w:val="20"/>
          <w:lang w:eastAsia="en-US"/>
        </w:rPr>
        <w:t>den exakt richtigen ATEX/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IEC Ex-Neigungsmesser für </w:t>
      </w:r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seine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Anwendung zu finden. Mit dem Produktfinder-Tool unter </w:t>
      </w:r>
      <w:r w:rsidRPr="008F267F">
        <w:rPr>
          <w:rFonts w:ascii="Arial" w:hAnsi="Arial" w:cs="Arial"/>
          <w:color w:val="800000"/>
          <w:sz w:val="20"/>
          <w:szCs w:val="20"/>
          <w:u w:val="single"/>
          <w:lang w:eastAsia="en-US"/>
        </w:rPr>
        <w:t>www.posital.com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kann </w:t>
      </w:r>
      <w:r w:rsidR="003C0421">
        <w:rPr>
          <w:rFonts w:ascii="Arial" w:hAnsi="Arial" w:cs="Arial"/>
          <w:color w:val="800000"/>
          <w:sz w:val="20"/>
          <w:szCs w:val="20"/>
          <w:lang w:eastAsia="en-US"/>
        </w:rPr>
        <w:t>der Anwender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die für sein Projekt erforderlichen Produkteigenschaften </w:t>
      </w:r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>definieren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und schnell den </w:t>
      </w:r>
      <w:r w:rsidR="00F15199">
        <w:rPr>
          <w:rFonts w:ascii="Arial" w:hAnsi="Arial" w:cs="Arial"/>
          <w:color w:val="800000"/>
          <w:sz w:val="20"/>
          <w:szCs w:val="20"/>
          <w:lang w:eastAsia="en-US"/>
        </w:rPr>
        <w:t>optimal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geeigneten Neigungssensor </w:t>
      </w:r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konfigurieren und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auswählen. Das </w:t>
      </w:r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digitale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>Fertigungssystem</w:t>
      </w:r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von POSITAL, das auf maßgeschneiderte Produkte (</w:t>
      </w:r>
      <w:proofErr w:type="spellStart"/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>Mass</w:t>
      </w:r>
      <w:proofErr w:type="spellEnd"/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proofErr w:type="spellStart"/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>Customization</w:t>
      </w:r>
      <w:proofErr w:type="spellEnd"/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) setzt und ‚Losgröße 1’ 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gewährleistet, </w:t>
      </w:r>
      <w:r w:rsidR="008F267F" w:rsidRPr="008F267F">
        <w:rPr>
          <w:rFonts w:ascii="Arial" w:hAnsi="Arial" w:cs="Arial"/>
          <w:color w:val="800000"/>
          <w:sz w:val="20"/>
          <w:szCs w:val="20"/>
          <w:lang w:eastAsia="en-US"/>
        </w:rPr>
        <w:t>sorgt dafür</w:t>
      </w:r>
      <w:r w:rsidR="0000670E" w:rsidRPr="008F267F">
        <w:rPr>
          <w:rFonts w:ascii="Arial" w:hAnsi="Arial" w:cs="Arial"/>
          <w:color w:val="800000"/>
          <w:sz w:val="20"/>
          <w:szCs w:val="20"/>
          <w:lang w:eastAsia="en-US"/>
        </w:rPr>
        <w:t>, dass die individuell georderten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8F267F" w:rsidRPr="008F267F">
        <w:rPr>
          <w:rFonts w:ascii="Arial" w:hAnsi="Arial" w:cs="Arial"/>
          <w:color w:val="800000"/>
          <w:sz w:val="20"/>
          <w:szCs w:val="20"/>
          <w:lang w:eastAsia="en-US"/>
        </w:rPr>
        <w:t>TILTIX-Sensoren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- unabhängig von ihren besonderen Merkmalen </w:t>
      </w:r>
      <w:r w:rsidR="008F267F" w:rsidRPr="008F267F">
        <w:rPr>
          <w:rFonts w:ascii="Arial" w:hAnsi="Arial" w:cs="Arial"/>
          <w:color w:val="800000"/>
          <w:sz w:val="20"/>
          <w:szCs w:val="20"/>
          <w:lang w:eastAsia="en-US"/>
        </w:rPr>
        <w:t>–</w:t>
      </w:r>
      <w:r w:rsidRPr="008F267F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8F267F" w:rsidRPr="008F267F">
        <w:rPr>
          <w:rFonts w:ascii="Arial" w:hAnsi="Arial" w:cs="Arial"/>
          <w:color w:val="800000"/>
          <w:sz w:val="20"/>
          <w:szCs w:val="20"/>
          <w:lang w:eastAsia="en-US"/>
        </w:rPr>
        <w:t>binnen kürzester Zeit beim Kunden sind.</w:t>
      </w:r>
    </w:p>
    <w:p w14:paraId="55D0C66D" w14:textId="05F371A6" w:rsidR="004A4132" w:rsidRPr="008E33FB" w:rsidRDefault="004A4132" w:rsidP="004A4132">
      <w:pPr>
        <w:jc w:val="both"/>
        <w:rPr>
          <w:rFonts w:ascii="Arial" w:hAnsi="Arial" w:cs="Arial"/>
          <w:sz w:val="22"/>
          <w:szCs w:val="22"/>
        </w:rPr>
      </w:pP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  <w:t xml:space="preserve">              _________</w:t>
      </w:r>
    </w:p>
    <w:p w14:paraId="14DF4EC3" w14:textId="31AD0620" w:rsidR="004A4132" w:rsidRDefault="004A4132" w:rsidP="004A4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6338BE5" w14:textId="39C69710" w:rsidR="008F267F" w:rsidRPr="008F267F" w:rsidRDefault="004A4132" w:rsidP="008F267F">
      <w:pPr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F267F">
        <w:rPr>
          <w:rFonts w:ascii="Arial" w:hAnsi="Arial" w:cs="Arial"/>
          <w:b/>
          <w:sz w:val="20"/>
          <w:szCs w:val="20"/>
        </w:rPr>
        <w:t xml:space="preserve">Pressefoto </w:t>
      </w:r>
      <w:r w:rsidRPr="008F267F">
        <w:rPr>
          <w:rFonts w:ascii="Arial" w:hAnsi="Arial" w:cs="Arial"/>
          <w:sz w:val="20"/>
          <w:szCs w:val="20"/>
        </w:rPr>
        <w:t xml:space="preserve">(siehe Anlage – im </w:t>
      </w:r>
      <w:proofErr w:type="spellStart"/>
      <w:r w:rsidRPr="008F267F">
        <w:rPr>
          <w:rFonts w:ascii="Arial" w:hAnsi="Arial" w:cs="Arial"/>
          <w:sz w:val="20"/>
          <w:szCs w:val="20"/>
        </w:rPr>
        <w:t>jpg</w:t>
      </w:r>
      <w:proofErr w:type="spellEnd"/>
      <w:r w:rsidRPr="008F267F">
        <w:rPr>
          <w:rFonts w:ascii="Arial" w:hAnsi="Arial" w:cs="Arial"/>
          <w:sz w:val="20"/>
          <w:szCs w:val="20"/>
        </w:rPr>
        <w:t xml:space="preserve">-Format): </w:t>
      </w:r>
      <w:r w:rsidR="008F267F" w:rsidRPr="008F267F">
        <w:rPr>
          <w:rFonts w:ascii="Arial" w:hAnsi="Arial" w:cs="Arial"/>
          <w:sz w:val="20"/>
          <w:szCs w:val="20"/>
          <w:lang w:eastAsia="en-US"/>
        </w:rPr>
        <w:t>Sicher geschützt</w:t>
      </w:r>
      <w:r w:rsidR="008F267F" w:rsidRPr="008F267F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8F267F" w:rsidRPr="008F267F">
        <w:rPr>
          <w:rFonts w:ascii="Arial" w:hAnsi="Arial" w:cs="Arial"/>
          <w:sz w:val="20"/>
          <w:szCs w:val="20"/>
          <w:lang w:eastAsia="en-US"/>
        </w:rPr>
        <w:t xml:space="preserve">– </w:t>
      </w:r>
      <w:r w:rsidR="008F267F" w:rsidRPr="008F267F">
        <w:rPr>
          <w:rFonts w:ascii="Arial" w:hAnsi="Arial" w:cs="Arial"/>
          <w:i/>
          <w:sz w:val="20"/>
          <w:szCs w:val="20"/>
          <w:lang w:eastAsia="en-US"/>
        </w:rPr>
        <w:t>POSITAL bietet TILTIX- Neigungssensoren für explosionsgefährdete Bereiche an.</w:t>
      </w:r>
    </w:p>
    <w:p w14:paraId="55DD526D" w14:textId="773E9C2A" w:rsidR="004A4132" w:rsidRPr="004A4132" w:rsidRDefault="004A4132" w:rsidP="004A4132">
      <w:pPr>
        <w:rPr>
          <w:rFonts w:ascii="Arial" w:hAnsi="Arial" w:cs="Arial"/>
          <w:sz w:val="21"/>
          <w:szCs w:val="21"/>
        </w:rPr>
      </w:pPr>
    </w:p>
    <w:p w14:paraId="41C0C3FE" w14:textId="77777777" w:rsidR="004A4132" w:rsidRDefault="002247A5" w:rsidP="004A4132">
      <w:pPr>
        <w:rPr>
          <w:rFonts w:cs="Arial"/>
          <w:b/>
        </w:rPr>
      </w:pPr>
      <w:r w:rsidRPr="004A4132">
        <w:tab/>
      </w:r>
      <w:r w:rsidR="00286A75" w:rsidRPr="004A4132">
        <w:t xml:space="preserve">      </w:t>
      </w:r>
      <w:r w:rsidR="00E07BC7" w:rsidRPr="004A4132">
        <w:tab/>
      </w:r>
      <w:r w:rsidR="00E07BC7" w:rsidRPr="004A4132">
        <w:tab/>
      </w:r>
      <w:r w:rsidR="00E07BC7" w:rsidRPr="004A4132">
        <w:tab/>
      </w:r>
      <w:r w:rsidR="00E07BC7" w:rsidRPr="004A4132">
        <w:tab/>
      </w:r>
      <w:r w:rsidR="00605531">
        <w:rPr>
          <w:rFonts w:cs="Arial"/>
          <w:b/>
        </w:rPr>
        <w:tab/>
      </w:r>
      <w:r w:rsidR="00286A75">
        <w:rPr>
          <w:rFonts w:cs="Arial"/>
          <w:b/>
        </w:rPr>
        <w:t xml:space="preserve">  </w:t>
      </w:r>
      <w:r w:rsidR="00286A75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605531" w:rsidRPr="00D63387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DC242B" w:rsidRPr="00D63387">
        <w:rPr>
          <w:rFonts w:cs="Arial"/>
          <w:b/>
        </w:rPr>
        <w:t xml:space="preserve">    </w:t>
      </w:r>
      <w:r w:rsidR="00DC242B" w:rsidRPr="00D63387">
        <w:rPr>
          <w:rFonts w:cs="Arial"/>
          <w:b/>
        </w:rPr>
        <w:tab/>
      </w:r>
    </w:p>
    <w:p w14:paraId="2B1C0753" w14:textId="1B2BB68D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POSITAL</w:t>
      </w:r>
      <w:r w:rsidR="00BF611B">
        <w:rPr>
          <w:rFonts w:ascii="Arial" w:hAnsi="Arial" w:cs="Arial"/>
          <w:b/>
          <w:sz w:val="20"/>
          <w:szCs w:val="20"/>
        </w:rPr>
        <w:t>.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40C67C79" w:rsidR="004D63AE" w:rsidRPr="00BD401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</w:t>
      </w:r>
      <w:proofErr w:type="spellStart"/>
      <w:r w:rsidR="007C1460" w:rsidRPr="00BD401E">
        <w:rPr>
          <w:rStyle w:val="Hyperlink0"/>
          <w:sz w:val="20"/>
          <w:szCs w:val="20"/>
        </w:rPr>
        <w:t>Control</w:t>
      </w:r>
      <w:proofErr w:type="spellEnd"/>
      <w:r w:rsidR="007C1460" w:rsidRPr="00BD401E">
        <w:rPr>
          <w:rStyle w:val="Hyperlink0"/>
          <w:sz w:val="20"/>
          <w:szCs w:val="20"/>
        </w:rPr>
        <w:t xml:space="preserve">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 w:rsidRPr="002524BC"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56F2CE53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457CEA44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263FB0" w:rsidRPr="00F50007">
          <w:rPr>
            <w:rStyle w:val="Hyperlink"/>
            <w:rFonts w:ascii="Arial" w:eastAsia="Arial" w:hAnsi="Arial" w:cs="Arial"/>
            <w:sz w:val="21"/>
            <w:szCs w:val="21"/>
            <w:u w:color="0000FF"/>
            <w:lang w:val="en-US"/>
          </w:rPr>
          <w:t>mwendland@pr-toolbox.com</w:t>
        </w:r>
      </w:hyperlink>
    </w:p>
    <w:p w14:paraId="1D1856E8" w14:textId="7A3BD729" w:rsidR="00692AE0" w:rsidRPr="002524BC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2524BC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5465B9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2524BC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2524BC" w:rsidSect="004A4132">
      <w:headerReference w:type="default" r:id="rId13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C076" w14:textId="77777777" w:rsidR="008F267F" w:rsidRDefault="008F267F" w:rsidP="00652A61">
      <w:r>
        <w:separator/>
      </w:r>
    </w:p>
  </w:endnote>
  <w:endnote w:type="continuationSeparator" w:id="0">
    <w:p w14:paraId="79BC377C" w14:textId="77777777" w:rsidR="008F267F" w:rsidRDefault="008F267F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255" w14:textId="77777777" w:rsidR="008F267F" w:rsidRDefault="008F267F" w:rsidP="00652A61">
      <w:r>
        <w:separator/>
      </w:r>
    </w:p>
  </w:footnote>
  <w:footnote w:type="continuationSeparator" w:id="0">
    <w:p w14:paraId="7051B88B" w14:textId="77777777" w:rsidR="008F267F" w:rsidRDefault="008F267F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8F267F" w:rsidRDefault="008F267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5C574F"/>
    <w:multiLevelType w:val="multilevel"/>
    <w:tmpl w:val="6F2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E7520"/>
    <w:multiLevelType w:val="multilevel"/>
    <w:tmpl w:val="5B6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44D04"/>
    <w:multiLevelType w:val="multilevel"/>
    <w:tmpl w:val="A05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03E92"/>
    <w:multiLevelType w:val="multilevel"/>
    <w:tmpl w:val="592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C0832"/>
    <w:multiLevelType w:val="multilevel"/>
    <w:tmpl w:val="0FB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D0D"/>
    <w:multiLevelType w:val="multilevel"/>
    <w:tmpl w:val="D9F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13FD1"/>
    <w:multiLevelType w:val="multilevel"/>
    <w:tmpl w:val="E04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054EA"/>
    <w:multiLevelType w:val="multilevel"/>
    <w:tmpl w:val="DBA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C42712"/>
    <w:multiLevelType w:val="multilevel"/>
    <w:tmpl w:val="22B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077E48"/>
    <w:multiLevelType w:val="multilevel"/>
    <w:tmpl w:val="B72C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BB4AAC"/>
    <w:multiLevelType w:val="multilevel"/>
    <w:tmpl w:val="E62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7"/>
  </w:num>
  <w:num w:numId="14">
    <w:abstractNumId w:val="11"/>
  </w:num>
  <w:num w:numId="15">
    <w:abstractNumId w:val="19"/>
  </w:num>
  <w:num w:numId="16">
    <w:abstractNumId w:val="4"/>
  </w:num>
  <w:num w:numId="17">
    <w:abstractNumId w:val="20"/>
  </w:num>
  <w:num w:numId="18">
    <w:abstractNumId w:val="8"/>
  </w:num>
  <w:num w:numId="19">
    <w:abstractNumId w:val="12"/>
  </w:num>
  <w:num w:numId="20">
    <w:abstractNumId w:val="18"/>
  </w:num>
  <w:num w:numId="21">
    <w:abstractNumId w:val="21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er Querfurth">
    <w15:presenceInfo w15:providerId="AD" w15:userId="S::alexander.querfurth@fraba.com::3f6fec9d-e6c1-4555-9c93-c621ca7e8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0670E"/>
    <w:rsid w:val="00023555"/>
    <w:rsid w:val="00031C43"/>
    <w:rsid w:val="0003388D"/>
    <w:rsid w:val="0003453E"/>
    <w:rsid w:val="00035349"/>
    <w:rsid w:val="0004294D"/>
    <w:rsid w:val="00045F37"/>
    <w:rsid w:val="00060A6F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105A3"/>
    <w:rsid w:val="001164B7"/>
    <w:rsid w:val="00121A38"/>
    <w:rsid w:val="001348AB"/>
    <w:rsid w:val="00142E5E"/>
    <w:rsid w:val="00144CB5"/>
    <w:rsid w:val="001533EA"/>
    <w:rsid w:val="001535D3"/>
    <w:rsid w:val="001538DF"/>
    <w:rsid w:val="00156D61"/>
    <w:rsid w:val="00160C45"/>
    <w:rsid w:val="00164088"/>
    <w:rsid w:val="001654E6"/>
    <w:rsid w:val="001659F0"/>
    <w:rsid w:val="0017615B"/>
    <w:rsid w:val="00177497"/>
    <w:rsid w:val="001A5946"/>
    <w:rsid w:val="001C24B4"/>
    <w:rsid w:val="001C572A"/>
    <w:rsid w:val="001D547A"/>
    <w:rsid w:val="001D62A2"/>
    <w:rsid w:val="001E3209"/>
    <w:rsid w:val="001F51D4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360C4"/>
    <w:rsid w:val="00244309"/>
    <w:rsid w:val="00245133"/>
    <w:rsid w:val="002524BC"/>
    <w:rsid w:val="00252B36"/>
    <w:rsid w:val="00252E85"/>
    <w:rsid w:val="0025527E"/>
    <w:rsid w:val="00256DC9"/>
    <w:rsid w:val="00262F75"/>
    <w:rsid w:val="00263FB0"/>
    <w:rsid w:val="0028136A"/>
    <w:rsid w:val="002860CA"/>
    <w:rsid w:val="00286A75"/>
    <w:rsid w:val="002920EB"/>
    <w:rsid w:val="00295869"/>
    <w:rsid w:val="00296302"/>
    <w:rsid w:val="002B402E"/>
    <w:rsid w:val="002C1136"/>
    <w:rsid w:val="002C4984"/>
    <w:rsid w:val="002D7A57"/>
    <w:rsid w:val="002E098F"/>
    <w:rsid w:val="002E7FBF"/>
    <w:rsid w:val="002F040A"/>
    <w:rsid w:val="00300E40"/>
    <w:rsid w:val="00305419"/>
    <w:rsid w:val="003130CB"/>
    <w:rsid w:val="003154AD"/>
    <w:rsid w:val="003223AD"/>
    <w:rsid w:val="00345F4D"/>
    <w:rsid w:val="003470F7"/>
    <w:rsid w:val="00353256"/>
    <w:rsid w:val="00354127"/>
    <w:rsid w:val="0036647E"/>
    <w:rsid w:val="00377339"/>
    <w:rsid w:val="00380E5E"/>
    <w:rsid w:val="00380EAF"/>
    <w:rsid w:val="003873D5"/>
    <w:rsid w:val="00387733"/>
    <w:rsid w:val="003A1173"/>
    <w:rsid w:val="003B03D1"/>
    <w:rsid w:val="003B3349"/>
    <w:rsid w:val="003B3410"/>
    <w:rsid w:val="003C0421"/>
    <w:rsid w:val="003D3152"/>
    <w:rsid w:val="003D3CA6"/>
    <w:rsid w:val="003D5E02"/>
    <w:rsid w:val="003E11D5"/>
    <w:rsid w:val="003E5D0D"/>
    <w:rsid w:val="003F5F6D"/>
    <w:rsid w:val="00400C78"/>
    <w:rsid w:val="00406073"/>
    <w:rsid w:val="0040729F"/>
    <w:rsid w:val="004072D9"/>
    <w:rsid w:val="004122C2"/>
    <w:rsid w:val="00413AC7"/>
    <w:rsid w:val="0042535C"/>
    <w:rsid w:val="00430043"/>
    <w:rsid w:val="004434AE"/>
    <w:rsid w:val="004434BE"/>
    <w:rsid w:val="004467D6"/>
    <w:rsid w:val="00450843"/>
    <w:rsid w:val="00454C84"/>
    <w:rsid w:val="0045535D"/>
    <w:rsid w:val="00460714"/>
    <w:rsid w:val="00463B97"/>
    <w:rsid w:val="00467928"/>
    <w:rsid w:val="0047000D"/>
    <w:rsid w:val="00490999"/>
    <w:rsid w:val="00491AA8"/>
    <w:rsid w:val="00496190"/>
    <w:rsid w:val="00496585"/>
    <w:rsid w:val="004A4132"/>
    <w:rsid w:val="004A7F41"/>
    <w:rsid w:val="004B1816"/>
    <w:rsid w:val="004B2FAB"/>
    <w:rsid w:val="004B4180"/>
    <w:rsid w:val="004B4CC5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5260"/>
    <w:rsid w:val="00531EC6"/>
    <w:rsid w:val="005355F6"/>
    <w:rsid w:val="005376C2"/>
    <w:rsid w:val="00544CB1"/>
    <w:rsid w:val="005465B9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BEA"/>
    <w:rsid w:val="005D3FA1"/>
    <w:rsid w:val="005D768C"/>
    <w:rsid w:val="00600ECB"/>
    <w:rsid w:val="00605531"/>
    <w:rsid w:val="00606222"/>
    <w:rsid w:val="00606449"/>
    <w:rsid w:val="0060797F"/>
    <w:rsid w:val="00611BF2"/>
    <w:rsid w:val="00612BB1"/>
    <w:rsid w:val="006219E5"/>
    <w:rsid w:val="00625865"/>
    <w:rsid w:val="00625A3B"/>
    <w:rsid w:val="00634D3B"/>
    <w:rsid w:val="00637347"/>
    <w:rsid w:val="00645E01"/>
    <w:rsid w:val="006515E8"/>
    <w:rsid w:val="006526BB"/>
    <w:rsid w:val="00652A61"/>
    <w:rsid w:val="006552DB"/>
    <w:rsid w:val="006635AD"/>
    <w:rsid w:val="00665419"/>
    <w:rsid w:val="00665E52"/>
    <w:rsid w:val="00671F08"/>
    <w:rsid w:val="0067704A"/>
    <w:rsid w:val="006846B4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05D3E"/>
    <w:rsid w:val="007123CD"/>
    <w:rsid w:val="00717C41"/>
    <w:rsid w:val="00726DA2"/>
    <w:rsid w:val="0074483B"/>
    <w:rsid w:val="00744DF9"/>
    <w:rsid w:val="00746F22"/>
    <w:rsid w:val="00754481"/>
    <w:rsid w:val="00755A74"/>
    <w:rsid w:val="007634B5"/>
    <w:rsid w:val="00764215"/>
    <w:rsid w:val="00766651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B0AED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31251"/>
    <w:rsid w:val="00833D95"/>
    <w:rsid w:val="008462DC"/>
    <w:rsid w:val="00863902"/>
    <w:rsid w:val="00870B86"/>
    <w:rsid w:val="0087343B"/>
    <w:rsid w:val="0088616B"/>
    <w:rsid w:val="00895D75"/>
    <w:rsid w:val="00896E55"/>
    <w:rsid w:val="008A018E"/>
    <w:rsid w:val="008A622A"/>
    <w:rsid w:val="008B010C"/>
    <w:rsid w:val="008B3AD0"/>
    <w:rsid w:val="008B4C13"/>
    <w:rsid w:val="008B6E11"/>
    <w:rsid w:val="008B7052"/>
    <w:rsid w:val="008B7FCF"/>
    <w:rsid w:val="008C6A96"/>
    <w:rsid w:val="008E2FBB"/>
    <w:rsid w:val="008E33FB"/>
    <w:rsid w:val="008F267F"/>
    <w:rsid w:val="008F30F6"/>
    <w:rsid w:val="00900628"/>
    <w:rsid w:val="00901911"/>
    <w:rsid w:val="009047AF"/>
    <w:rsid w:val="009128AC"/>
    <w:rsid w:val="00925379"/>
    <w:rsid w:val="00931E63"/>
    <w:rsid w:val="00934EC9"/>
    <w:rsid w:val="009422C0"/>
    <w:rsid w:val="009426D0"/>
    <w:rsid w:val="00944810"/>
    <w:rsid w:val="00952A0B"/>
    <w:rsid w:val="009806EA"/>
    <w:rsid w:val="00981B62"/>
    <w:rsid w:val="00982515"/>
    <w:rsid w:val="0098690C"/>
    <w:rsid w:val="009A264B"/>
    <w:rsid w:val="009A316C"/>
    <w:rsid w:val="009A5449"/>
    <w:rsid w:val="009B45E2"/>
    <w:rsid w:val="009B7ACF"/>
    <w:rsid w:val="009C6ADD"/>
    <w:rsid w:val="009C77A8"/>
    <w:rsid w:val="009E1800"/>
    <w:rsid w:val="009E2CA1"/>
    <w:rsid w:val="009E5814"/>
    <w:rsid w:val="009E58B0"/>
    <w:rsid w:val="009F1F57"/>
    <w:rsid w:val="009F4D40"/>
    <w:rsid w:val="009F6467"/>
    <w:rsid w:val="00A023EB"/>
    <w:rsid w:val="00A046A2"/>
    <w:rsid w:val="00A10EBC"/>
    <w:rsid w:val="00A11FFA"/>
    <w:rsid w:val="00A137E5"/>
    <w:rsid w:val="00A1457C"/>
    <w:rsid w:val="00A14B7E"/>
    <w:rsid w:val="00A20519"/>
    <w:rsid w:val="00A2750C"/>
    <w:rsid w:val="00A30262"/>
    <w:rsid w:val="00A33C0A"/>
    <w:rsid w:val="00A36BF9"/>
    <w:rsid w:val="00A3704B"/>
    <w:rsid w:val="00A372D3"/>
    <w:rsid w:val="00A40260"/>
    <w:rsid w:val="00A4152D"/>
    <w:rsid w:val="00A5093B"/>
    <w:rsid w:val="00A559CC"/>
    <w:rsid w:val="00A55E1D"/>
    <w:rsid w:val="00A569E0"/>
    <w:rsid w:val="00A60D14"/>
    <w:rsid w:val="00A60F3F"/>
    <w:rsid w:val="00A615C4"/>
    <w:rsid w:val="00A81581"/>
    <w:rsid w:val="00A8723E"/>
    <w:rsid w:val="00A90A41"/>
    <w:rsid w:val="00A93DE4"/>
    <w:rsid w:val="00A966C6"/>
    <w:rsid w:val="00AB29E7"/>
    <w:rsid w:val="00AB530B"/>
    <w:rsid w:val="00AB6FFC"/>
    <w:rsid w:val="00AC01F3"/>
    <w:rsid w:val="00AC190F"/>
    <w:rsid w:val="00AC1CBE"/>
    <w:rsid w:val="00AC688E"/>
    <w:rsid w:val="00AD00F4"/>
    <w:rsid w:val="00AD619D"/>
    <w:rsid w:val="00AE2739"/>
    <w:rsid w:val="00AE39B9"/>
    <w:rsid w:val="00AE4B22"/>
    <w:rsid w:val="00AF3466"/>
    <w:rsid w:val="00AF4C0A"/>
    <w:rsid w:val="00B010E6"/>
    <w:rsid w:val="00B04813"/>
    <w:rsid w:val="00B24C0C"/>
    <w:rsid w:val="00B37525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20F5"/>
    <w:rsid w:val="00B85877"/>
    <w:rsid w:val="00B90EC9"/>
    <w:rsid w:val="00BA205C"/>
    <w:rsid w:val="00BA2EFA"/>
    <w:rsid w:val="00BA57BA"/>
    <w:rsid w:val="00BA6EF4"/>
    <w:rsid w:val="00BC059A"/>
    <w:rsid w:val="00BC6FE2"/>
    <w:rsid w:val="00BD401E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C00ED5"/>
    <w:rsid w:val="00C06460"/>
    <w:rsid w:val="00C15443"/>
    <w:rsid w:val="00C17975"/>
    <w:rsid w:val="00C21029"/>
    <w:rsid w:val="00C2197D"/>
    <w:rsid w:val="00C23418"/>
    <w:rsid w:val="00C23E6E"/>
    <w:rsid w:val="00C308A4"/>
    <w:rsid w:val="00C30DA9"/>
    <w:rsid w:val="00C44B06"/>
    <w:rsid w:val="00C5268E"/>
    <w:rsid w:val="00C56AB6"/>
    <w:rsid w:val="00C571DE"/>
    <w:rsid w:val="00C658A8"/>
    <w:rsid w:val="00C67E0B"/>
    <w:rsid w:val="00C76D39"/>
    <w:rsid w:val="00C844C5"/>
    <w:rsid w:val="00C8636A"/>
    <w:rsid w:val="00C9343A"/>
    <w:rsid w:val="00C94B1A"/>
    <w:rsid w:val="00CA4771"/>
    <w:rsid w:val="00CA719E"/>
    <w:rsid w:val="00CB262D"/>
    <w:rsid w:val="00CC140E"/>
    <w:rsid w:val="00CC6A5E"/>
    <w:rsid w:val="00CD2EA5"/>
    <w:rsid w:val="00CD73C9"/>
    <w:rsid w:val="00CE1758"/>
    <w:rsid w:val="00CE2756"/>
    <w:rsid w:val="00CE59ED"/>
    <w:rsid w:val="00CE5F0A"/>
    <w:rsid w:val="00CF7790"/>
    <w:rsid w:val="00D0349D"/>
    <w:rsid w:val="00D22C76"/>
    <w:rsid w:val="00D25DFC"/>
    <w:rsid w:val="00D35271"/>
    <w:rsid w:val="00D368E0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96157"/>
    <w:rsid w:val="00DA1AD3"/>
    <w:rsid w:val="00DB6A7D"/>
    <w:rsid w:val="00DC242B"/>
    <w:rsid w:val="00DC71CF"/>
    <w:rsid w:val="00DC7576"/>
    <w:rsid w:val="00DD096D"/>
    <w:rsid w:val="00DD72BC"/>
    <w:rsid w:val="00E02EE7"/>
    <w:rsid w:val="00E07BC7"/>
    <w:rsid w:val="00E10179"/>
    <w:rsid w:val="00E102F8"/>
    <w:rsid w:val="00E17A57"/>
    <w:rsid w:val="00E24062"/>
    <w:rsid w:val="00E3595D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9BE"/>
    <w:rsid w:val="00E832A1"/>
    <w:rsid w:val="00E84A8D"/>
    <w:rsid w:val="00E858AE"/>
    <w:rsid w:val="00E8614E"/>
    <w:rsid w:val="00E9416C"/>
    <w:rsid w:val="00EC23F4"/>
    <w:rsid w:val="00EC28FA"/>
    <w:rsid w:val="00EC7227"/>
    <w:rsid w:val="00EE1D72"/>
    <w:rsid w:val="00EE412B"/>
    <w:rsid w:val="00EF50BB"/>
    <w:rsid w:val="00EF57B7"/>
    <w:rsid w:val="00EF6042"/>
    <w:rsid w:val="00EF6F49"/>
    <w:rsid w:val="00F032EC"/>
    <w:rsid w:val="00F14F3E"/>
    <w:rsid w:val="00F15199"/>
    <w:rsid w:val="00F360DF"/>
    <w:rsid w:val="00F45D2F"/>
    <w:rsid w:val="00F50007"/>
    <w:rsid w:val="00F51717"/>
    <w:rsid w:val="00F557EC"/>
    <w:rsid w:val="00F6287E"/>
    <w:rsid w:val="00F63380"/>
    <w:rsid w:val="00F76AC2"/>
    <w:rsid w:val="00F83929"/>
    <w:rsid w:val="00F85E54"/>
    <w:rsid w:val="00F87310"/>
    <w:rsid w:val="00F8795C"/>
    <w:rsid w:val="00F90EB1"/>
    <w:rsid w:val="00F94CDF"/>
    <w:rsid w:val="00F94E94"/>
    <w:rsid w:val="00FA0495"/>
    <w:rsid w:val="00FA4BEC"/>
    <w:rsid w:val="00FA6C99"/>
    <w:rsid w:val="00FB5C25"/>
    <w:rsid w:val="00FB6C34"/>
    <w:rsid w:val="00FB73B3"/>
    <w:rsid w:val="00FC71C9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mwendland@pr-toolbox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052D6-1A0A-44B0-B8B8-8802FCCFDCF0}"/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3ABBC1-2CF8-6840-8478-408DE287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644</Words>
  <Characters>3673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4309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14</cp:revision>
  <cp:lastPrinted>2020-01-19T22:16:00Z</cp:lastPrinted>
  <dcterms:created xsi:type="dcterms:W3CDTF">2020-01-16T17:32:00Z</dcterms:created>
  <dcterms:modified xsi:type="dcterms:W3CDTF">2020-01-19T23:47:00Z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