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972AFD">
      <w:pPr>
        <w:rPr>
          <w:sz w:val="24"/>
        </w:rPr>
      </w:pPr>
      <w:r>
        <w:rPr>
          <w:sz w:val="40"/>
          <w:szCs w:val="40"/>
        </w:rPr>
        <w:t>Presseinformation</w:t>
      </w:r>
    </w:p>
    <w:p w:rsidR="00000000" w:rsidRDefault="00972AFD">
      <w:pPr>
        <w:spacing w:line="360" w:lineRule="auto"/>
        <w:ind w:right="-2"/>
        <w:rPr>
          <w:sz w:val="24"/>
        </w:rPr>
      </w:pPr>
    </w:p>
    <w:p w:rsidR="00000000" w:rsidRDefault="00972AFD">
      <w:pPr>
        <w:spacing w:line="360" w:lineRule="auto"/>
        <w:ind w:right="-2"/>
      </w:pPr>
      <w:r>
        <w:rPr>
          <w:b/>
          <w:sz w:val="24"/>
        </w:rPr>
        <w:t>Widersteht extremen Wetterlagen und Widrigkeiten: TILTIX Neigungssensor von POSITAL</w:t>
      </w:r>
    </w:p>
    <w:p w:rsidR="00000000" w:rsidRDefault="00972AFD">
      <w:pPr>
        <w:spacing w:line="360" w:lineRule="auto"/>
        <w:jc w:val="both"/>
      </w:pPr>
    </w:p>
    <w:p w:rsidR="00000000" w:rsidRDefault="00972AFD">
      <w:pPr>
        <w:spacing w:line="360" w:lineRule="auto"/>
        <w:jc w:val="both"/>
      </w:pPr>
      <w:r>
        <w:t>Köln – POSITALs vielseitige, äußerst robuste Neigungssensoren der TILTIX-Bauhreihe im Druckguss-Aluminiumgehäuse überstehen selbst Schläge durch  herunt</w:t>
      </w:r>
      <w:r>
        <w:t xml:space="preserve">erfallendes Werkzeug, Steine oder ungesicherte Gerätschaften </w:t>
      </w:r>
      <w:r>
        <w:t>und messen m</w:t>
      </w:r>
      <w:r>
        <w:t xml:space="preserve">it </w:t>
      </w:r>
      <w:r>
        <w:t>einer maximalen Auflösung von ±0.01°.</w:t>
      </w:r>
      <w:r>
        <w:t xml:space="preserve"> Durch ihre äußerst robuste und widerstandsfähige Bauweise eignen sie sich ideal für Steuerungssysteme in schweren Maschinen der Bau-, Bohr- un</w:t>
      </w:r>
      <w:r>
        <w:t xml:space="preserve">d Bergbauindustrie, in Landwirtschaftsbetrieben sowie in Militärfahrzeugen und mobilen Anwendungen. </w:t>
      </w:r>
      <w:r>
        <w:t>Ausgestattet mit</w:t>
      </w:r>
      <w:r>
        <w:t xml:space="preserve"> verstärkten Anschlussstellen für hoch belastbare Kabel und Stecker, Montagebohrungen für M6-Bolzen sowie massiven Flanschen widerstehen die</w:t>
      </w:r>
      <w:r>
        <w:t xml:space="preserve"> Sensoren hohen Anzugsdrehmomenten ohne Beschädigung. Die Gehäuse in Schutzart IP69K gewährleisten  zuverlässigen Schutz gegen Staub und Wasser und gestattet die Reinigung der Geräte mit Hochdruck- oder Dampfstrahl. </w:t>
      </w:r>
    </w:p>
    <w:p w:rsidR="00000000" w:rsidRDefault="00972AFD">
      <w:pPr>
        <w:spacing w:line="360" w:lineRule="auto"/>
        <w:jc w:val="both"/>
      </w:pPr>
    </w:p>
    <w:tbl>
      <w:tblPr>
        <w:tblW w:w="0" w:type="auto"/>
        <w:tblLayout w:type="fixed"/>
        <w:tblCellMar>
          <w:left w:w="70" w:type="dxa"/>
          <w:right w:w="70" w:type="dxa"/>
        </w:tblCellMar>
        <w:tblLook w:val="0000"/>
      </w:tblPr>
      <w:tblGrid>
        <w:gridCol w:w="7226"/>
      </w:tblGrid>
      <w:tr w:rsidR="00000000">
        <w:tc>
          <w:tcPr>
            <w:tcW w:w="7226" w:type="dxa"/>
            <w:shd w:val="clear" w:color="auto" w:fill="auto"/>
          </w:tcPr>
          <w:p w:rsidR="00000000" w:rsidRDefault="00972AFD">
            <w:pPr>
              <w:snapToGrid w:val="0"/>
              <w:spacing w:line="360" w:lineRule="auto"/>
              <w:jc w:val="center"/>
              <w:rPr>
                <w:sz w:val="18"/>
              </w:rPr>
            </w:pPr>
            <w:r>
              <w:rPr>
                <w:noProof/>
                <w:lang w:eastAsia="de-DE"/>
              </w:rPr>
              <w:drawing>
                <wp:anchor distT="0" distB="0" distL="0" distR="0" simplePos="0" relativeHeight="251657728" behindDoc="0" locked="0" layoutInCell="1" allowOverlap="1">
                  <wp:simplePos x="0" y="0"/>
                  <wp:positionH relativeFrom="column">
                    <wp:align>center</wp:align>
                  </wp:positionH>
                  <wp:positionV relativeFrom="paragraph">
                    <wp:posOffset>0</wp:posOffset>
                  </wp:positionV>
                  <wp:extent cx="2863850" cy="1468120"/>
                  <wp:effectExtent l="19050" t="0" r="0" b="0"/>
                  <wp:wrapTopAndBottom/>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863850" cy="1468120"/>
                          </a:xfrm>
                          <a:prstGeom prst="rect">
                            <a:avLst/>
                          </a:prstGeom>
                          <a:solidFill>
                            <a:srgbClr val="FFFFFF"/>
                          </a:solidFill>
                          <a:ln w="9525">
                            <a:noFill/>
                            <a:miter lim="800000"/>
                            <a:headEnd/>
                            <a:tailEnd/>
                          </a:ln>
                        </pic:spPr>
                      </pic:pic>
                    </a:graphicData>
                  </a:graphic>
                </wp:anchor>
              </w:drawing>
            </w:r>
          </w:p>
        </w:tc>
      </w:tr>
      <w:tr w:rsidR="00000000">
        <w:tc>
          <w:tcPr>
            <w:tcW w:w="7226" w:type="dxa"/>
            <w:shd w:val="clear" w:color="auto" w:fill="auto"/>
          </w:tcPr>
          <w:p w:rsidR="00000000" w:rsidRDefault="00972AFD" w:rsidP="00972AFD">
            <w:pPr>
              <w:jc w:val="center"/>
            </w:pPr>
            <w:r>
              <w:rPr>
                <w:b/>
                <w:sz w:val="18"/>
              </w:rPr>
              <w:t>Bild:</w:t>
            </w:r>
            <w:r>
              <w:rPr>
                <w:sz w:val="18"/>
              </w:rPr>
              <w:t xml:space="preserve"> Robuste TILTIX Neigungssensor</w:t>
            </w:r>
            <w:r>
              <w:rPr>
                <w:sz w:val="18"/>
              </w:rPr>
              <w:t>en mit Schutzart IP69</w:t>
            </w:r>
            <w:r>
              <w:rPr>
                <w:sz w:val="18"/>
              </w:rPr>
              <w:t>K für Heavy-Duty-Einsätze</w:t>
            </w:r>
          </w:p>
        </w:tc>
      </w:tr>
    </w:tbl>
    <w:p w:rsidR="00000000" w:rsidRDefault="00972AFD">
      <w:pPr>
        <w:spacing w:line="360" w:lineRule="auto"/>
        <w:jc w:val="both"/>
      </w:pPr>
    </w:p>
    <w:p w:rsidR="00000000" w:rsidRDefault="00972AFD">
      <w:pPr>
        <w:spacing w:line="360" w:lineRule="auto"/>
        <w:jc w:val="both"/>
      </w:pPr>
      <w:r>
        <w:t xml:space="preserve">Die Sensoren halten zudem </w:t>
      </w:r>
      <w:r>
        <w:t>Stoßbelastungen bis zu 100g aus und sind temperaturkompensiert. Ihre Messzellen arbeiten nach dem kapazitiven Prinzip: Änderungen in der Position des Neigungssensors werden durch Me</w:t>
      </w:r>
      <w:r>
        <w:t>ssung der Kapazität einer gefederten Masse erfasst, die sich linear zum Winkel ändert. TILTIX-Sensoren sind in einachsiger (360°) oder zweiachsiger (±80°) Ausführung erhältlich. Es stehen weiterhin Versionen mit Schnittstellen für DeviceNet, CANopen und J1</w:t>
      </w:r>
      <w:r>
        <w:t xml:space="preserve">939 sowie mit analogen Spannungs- oder Stromschnittstellen und seriell digitalen Schnittstellen (SSI) zur Verfügung. CANopen mit doppelten Ausgängen unterstützt zudem die </w:t>
      </w:r>
      <w:r>
        <w:t xml:space="preserve">Linienverkabelung (Daisy Chain) für die Vereinfachung von </w:t>
      </w:r>
      <w:r>
        <w:t xml:space="preserve">Verkabelungssystemen. Alle </w:t>
      </w:r>
      <w:r>
        <w:lastRenderedPageBreak/>
        <w:t>Neigungssensoren dieser Serie können ab Werk kundenspezifisch für jede gewünschte Umgebung kalibriert werden, um exakte Messergebnisse zu gewährleisten.</w:t>
      </w:r>
    </w:p>
    <w:p w:rsidR="00000000" w:rsidRDefault="00972AFD">
      <w:pPr>
        <w:spacing w:line="360" w:lineRule="auto"/>
        <w:jc w:val="both"/>
      </w:pPr>
    </w:p>
    <w:tbl>
      <w:tblPr>
        <w:tblW w:w="0" w:type="auto"/>
        <w:tblLayout w:type="fixed"/>
        <w:tblCellMar>
          <w:left w:w="70" w:type="dxa"/>
          <w:right w:w="70" w:type="dxa"/>
        </w:tblCellMar>
        <w:tblLook w:val="0000"/>
      </w:tblPr>
      <w:tblGrid>
        <w:gridCol w:w="1151"/>
        <w:gridCol w:w="3881"/>
        <w:gridCol w:w="850"/>
        <w:gridCol w:w="1302"/>
      </w:tblGrid>
      <w:tr w:rsidR="00000000">
        <w:trPr>
          <w:cantSplit/>
        </w:trPr>
        <w:tc>
          <w:tcPr>
            <w:tcW w:w="1151" w:type="dxa"/>
            <w:shd w:val="clear" w:color="auto" w:fill="auto"/>
          </w:tcPr>
          <w:p w:rsidR="00000000" w:rsidRDefault="00972AFD">
            <w:pPr>
              <w:jc w:val="both"/>
              <w:rPr>
                <w:sz w:val="18"/>
                <w:lang w:val="en-CA"/>
              </w:rPr>
            </w:pPr>
            <w:r>
              <w:rPr>
                <w:sz w:val="18"/>
              </w:rPr>
              <w:t>Bilder:</w:t>
            </w:r>
          </w:p>
        </w:tc>
        <w:tc>
          <w:tcPr>
            <w:tcW w:w="3881" w:type="dxa"/>
            <w:shd w:val="clear" w:color="auto" w:fill="auto"/>
          </w:tcPr>
          <w:p w:rsidR="00000000" w:rsidRDefault="00972AFD">
            <w:pPr>
              <w:rPr>
                <w:sz w:val="18"/>
              </w:rPr>
            </w:pPr>
            <w:r>
              <w:rPr>
                <w:sz w:val="18"/>
                <w:lang w:val="en-CA"/>
              </w:rPr>
              <w:t>TILTIX_Super-HD</w:t>
            </w:r>
          </w:p>
        </w:tc>
        <w:tc>
          <w:tcPr>
            <w:tcW w:w="850" w:type="dxa"/>
            <w:shd w:val="clear" w:color="auto" w:fill="auto"/>
          </w:tcPr>
          <w:p w:rsidR="00000000" w:rsidRDefault="00972AFD">
            <w:pPr>
              <w:jc w:val="both"/>
              <w:rPr>
                <w:sz w:val="18"/>
              </w:rPr>
            </w:pPr>
            <w:r>
              <w:rPr>
                <w:sz w:val="18"/>
              </w:rPr>
              <w:t>Zeichen:</w:t>
            </w:r>
          </w:p>
        </w:tc>
        <w:tc>
          <w:tcPr>
            <w:tcW w:w="1302" w:type="dxa"/>
            <w:shd w:val="clear" w:color="auto" w:fill="auto"/>
          </w:tcPr>
          <w:p w:rsidR="00000000" w:rsidRDefault="00972AFD">
            <w:pPr>
              <w:jc w:val="right"/>
            </w:pPr>
            <w:r>
              <w:rPr>
                <w:sz w:val="18"/>
              </w:rPr>
              <w:t>1618</w:t>
            </w:r>
          </w:p>
        </w:tc>
      </w:tr>
      <w:tr w:rsidR="00000000">
        <w:trPr>
          <w:cantSplit/>
        </w:trPr>
        <w:tc>
          <w:tcPr>
            <w:tcW w:w="1151" w:type="dxa"/>
            <w:shd w:val="clear" w:color="auto" w:fill="auto"/>
          </w:tcPr>
          <w:p w:rsidR="00000000" w:rsidRDefault="00972AFD">
            <w:pPr>
              <w:spacing w:before="120"/>
              <w:jc w:val="both"/>
              <w:rPr>
                <w:sz w:val="18"/>
                <w:lang w:val="en-GB"/>
              </w:rPr>
            </w:pPr>
            <w:r>
              <w:rPr>
                <w:sz w:val="18"/>
              </w:rPr>
              <w:t>Dateiname:</w:t>
            </w:r>
          </w:p>
        </w:tc>
        <w:tc>
          <w:tcPr>
            <w:tcW w:w="3881" w:type="dxa"/>
            <w:shd w:val="clear" w:color="auto" w:fill="auto"/>
          </w:tcPr>
          <w:p w:rsidR="00000000" w:rsidRDefault="00972AFD">
            <w:pPr>
              <w:spacing w:before="120"/>
              <w:rPr>
                <w:sz w:val="18"/>
              </w:rPr>
            </w:pPr>
            <w:r>
              <w:rPr>
                <w:sz w:val="18"/>
                <w:lang w:val="en-GB"/>
              </w:rPr>
              <w:t>201504055_Tiltix_SuperHD</w:t>
            </w:r>
          </w:p>
        </w:tc>
        <w:tc>
          <w:tcPr>
            <w:tcW w:w="850" w:type="dxa"/>
            <w:shd w:val="clear" w:color="auto" w:fill="auto"/>
          </w:tcPr>
          <w:p w:rsidR="00000000" w:rsidRDefault="00972AFD">
            <w:pPr>
              <w:spacing w:before="120"/>
              <w:jc w:val="both"/>
              <w:rPr>
                <w:sz w:val="18"/>
              </w:rPr>
            </w:pPr>
            <w:r>
              <w:rPr>
                <w:sz w:val="18"/>
              </w:rPr>
              <w:t>Datum:</w:t>
            </w:r>
          </w:p>
        </w:tc>
        <w:tc>
          <w:tcPr>
            <w:tcW w:w="1302" w:type="dxa"/>
            <w:shd w:val="clear" w:color="auto" w:fill="auto"/>
          </w:tcPr>
          <w:p w:rsidR="00000000" w:rsidRDefault="00972AFD">
            <w:pPr>
              <w:spacing w:before="120"/>
              <w:jc w:val="right"/>
            </w:pPr>
            <w:r>
              <w:rPr>
                <w:sz w:val="18"/>
              </w:rPr>
              <w:t>30.04.2015</w:t>
            </w:r>
          </w:p>
        </w:tc>
      </w:tr>
    </w:tbl>
    <w:p w:rsidR="00000000" w:rsidRDefault="00972AFD">
      <w:pPr>
        <w:pStyle w:val="BodyText"/>
        <w:spacing w:before="120" w:after="120"/>
        <w:jc w:val="both"/>
        <w:rPr>
          <w:sz w:val="16"/>
        </w:rPr>
      </w:pPr>
      <w:r>
        <w:rPr>
          <w:b/>
          <w:sz w:val="16"/>
        </w:rPr>
        <w:t>Unterneh</w:t>
      </w:r>
      <w:r>
        <w:rPr>
          <w:b/>
          <w:sz w:val="16"/>
        </w:rPr>
        <w:t>menshintergrund</w:t>
      </w:r>
    </w:p>
    <w:p w:rsidR="00000000" w:rsidRDefault="00972AFD">
      <w:pPr>
        <w:jc w:val="both"/>
        <w:rPr>
          <w:sz w:val="16"/>
        </w:rPr>
      </w:pPr>
      <w:r>
        <w:rPr>
          <w:sz w:val="16"/>
        </w:rPr>
        <w:t xml:space="preserve">POSITAL, ein hochspezialisierter Hersteller von absoluten und inkrementalen Drehgebern sowie Neigungssensoren, ist Teil der FRABA-Gruppe, die auf den 1918 gegründeten Relaishersteller Franz Baumgartner elektrische Apparate GmbH zurückgeht. </w:t>
      </w:r>
      <w:r>
        <w:rPr>
          <w:sz w:val="16"/>
        </w:rPr>
        <w:t>Das Stammunternehmen brachte 1963 die ersten metallbürstenbasierten Absolutdrehgeber auf den Markt und entwickelte in den 1970er Jahren optische Absolutdrehgeber. In den 1980er Jahren wurde ein eigener Drehgeberbereich gegründet, der sich als erfolgreicher</w:t>
      </w:r>
      <w:r>
        <w:rPr>
          <w:sz w:val="16"/>
        </w:rPr>
        <w:t xml:space="preserve"> Lieferant für den Maschinenbau etablierte. 1993 übernahmen der Unternehmensberater Christian Leeser, sein Bruder Dr. Achim Leeser und Axel Wiemann, der Leiter der Drehgeberabteilung, das Unternehmen, das in Folge mit einem neuen Management vollständig neu</w:t>
      </w:r>
      <w:r>
        <w:rPr>
          <w:sz w:val="16"/>
        </w:rPr>
        <w:t xml:space="preserve"> strukturiert wurde. Es entstand eine Gruppe unabhängiger Firmen, die heute an Standorten in Deutschland, Singapur und den USA sowie in einer hochmodernen Fertigungsstätte in Polen insgesamt 120 Mitarbeiter beschäftigt. POSITAL hat in den vergangenen Jahre</w:t>
      </w:r>
      <w:r>
        <w:rPr>
          <w:sz w:val="16"/>
        </w:rPr>
        <w:t>n mit Neigungssensoren, Seilzugsystemen, optischen und magnetischen Safety-Drehgebern sowie hochauflösenden magnetischen Multi-Turn-Drehgebern zahlreiche innovative Produkte entwickelt.</w:t>
      </w:r>
    </w:p>
    <w:p w:rsidR="00000000" w:rsidRDefault="00972AFD">
      <w:pPr>
        <w:pBdr>
          <w:top w:val="none" w:sz="0" w:space="0" w:color="000000"/>
          <w:left w:val="none" w:sz="0" w:space="0" w:color="000000"/>
          <w:bottom w:val="none" w:sz="0" w:space="0" w:color="000000"/>
          <w:right w:val="none" w:sz="0" w:space="0" w:color="000000"/>
        </w:pBdr>
        <w:jc w:val="both"/>
        <w:rPr>
          <w:sz w:val="16"/>
        </w:rPr>
      </w:pPr>
    </w:p>
    <w:p w:rsidR="00000000" w:rsidRDefault="00972AFD">
      <w:pPr>
        <w:pStyle w:val="BodyText"/>
        <w:pBdr>
          <w:top w:val="none" w:sz="0" w:space="0" w:color="000000"/>
          <w:left w:val="none" w:sz="0" w:space="0" w:color="000000"/>
          <w:bottom w:val="none" w:sz="0" w:space="0" w:color="000000"/>
          <w:right w:val="none" w:sz="0" w:space="0" w:color="000000"/>
        </w:pBdr>
        <w:jc w:val="both"/>
        <w:rPr>
          <w:sz w:val="16"/>
        </w:rPr>
      </w:pPr>
    </w:p>
    <w:tbl>
      <w:tblPr>
        <w:tblW w:w="0" w:type="auto"/>
        <w:tblLayout w:type="fixed"/>
        <w:tblCellMar>
          <w:left w:w="70" w:type="dxa"/>
          <w:right w:w="70" w:type="dxa"/>
        </w:tblCellMar>
        <w:tblLook w:val="0000"/>
      </w:tblPr>
      <w:tblGrid>
        <w:gridCol w:w="3756"/>
        <w:gridCol w:w="1134"/>
        <w:gridCol w:w="2268"/>
      </w:tblGrid>
      <w:tr w:rsidR="00000000">
        <w:tc>
          <w:tcPr>
            <w:tcW w:w="3756" w:type="dxa"/>
            <w:shd w:val="clear" w:color="auto" w:fill="auto"/>
          </w:tcPr>
          <w:p w:rsidR="00000000" w:rsidRDefault="00972AFD">
            <w:r>
              <w:rPr>
                <w:b/>
              </w:rPr>
              <w:t>Kontakt:</w:t>
            </w:r>
          </w:p>
          <w:p w:rsidR="00000000" w:rsidRDefault="00972AFD">
            <w:pPr>
              <w:pStyle w:val="Heading4"/>
            </w:pPr>
            <w:r>
              <w:rPr>
                <w:sz w:val="20"/>
              </w:rPr>
              <w:t>FRABA AG</w:t>
            </w:r>
          </w:p>
          <w:p w:rsidR="00000000" w:rsidRDefault="00972AFD">
            <w:pPr>
              <w:spacing w:before="120" w:after="120"/>
            </w:pPr>
            <w:r>
              <w:t>Dimitri Pritzkau</w:t>
            </w:r>
          </w:p>
          <w:p w:rsidR="00000000" w:rsidRDefault="00972AFD">
            <w:r>
              <w:t>Carlswerkstraße 13c</w:t>
            </w:r>
          </w:p>
          <w:p w:rsidR="00000000" w:rsidRDefault="00972AFD">
            <w:r>
              <w:t xml:space="preserve">51063 </w:t>
            </w:r>
            <w:r>
              <w:t>Köln</w:t>
            </w:r>
          </w:p>
          <w:p w:rsidR="00000000" w:rsidRDefault="00972AFD">
            <w:pPr>
              <w:spacing w:before="120"/>
              <w:jc w:val="both"/>
            </w:pPr>
            <w:r>
              <w:t>Tel.: 02 21 / 9 62 13 -913</w:t>
            </w:r>
          </w:p>
          <w:p w:rsidR="00000000" w:rsidRDefault="00972AFD">
            <w:pPr>
              <w:jc w:val="both"/>
              <w:rPr>
                <w:lang w:val="it-IT"/>
              </w:rPr>
            </w:pPr>
            <w:r>
              <w:t>Fax: 02 21 / 9 62 13 -20</w:t>
            </w:r>
          </w:p>
          <w:p w:rsidR="00000000" w:rsidRDefault="00972AFD">
            <w:pPr>
              <w:pStyle w:val="BodyText"/>
              <w:jc w:val="both"/>
              <w:rPr>
                <w:sz w:val="20"/>
                <w:lang w:val="it-IT"/>
              </w:rPr>
            </w:pPr>
            <w:r>
              <w:rPr>
                <w:sz w:val="20"/>
                <w:lang w:val="it-IT"/>
              </w:rPr>
              <w:t>E-Mail: pritzkau</w:t>
            </w:r>
            <w:r>
              <w:rPr>
                <w:sz w:val="20"/>
                <w:lang w:val="it-IT"/>
              </w:rPr>
              <w:t>@posital.de</w:t>
            </w:r>
          </w:p>
          <w:p w:rsidR="00000000" w:rsidRDefault="00972AFD">
            <w:pPr>
              <w:pStyle w:val="BodyText"/>
              <w:jc w:val="both"/>
            </w:pPr>
            <w:r>
              <w:rPr>
                <w:sz w:val="20"/>
                <w:lang w:val="it-IT"/>
              </w:rPr>
              <w:t>Internet: www.posital.de</w:t>
            </w:r>
          </w:p>
        </w:tc>
        <w:tc>
          <w:tcPr>
            <w:tcW w:w="1134" w:type="dxa"/>
            <w:shd w:val="clear" w:color="auto" w:fill="auto"/>
          </w:tcPr>
          <w:p w:rsidR="00000000" w:rsidRDefault="00972AFD">
            <w:pPr>
              <w:pStyle w:val="BodyText"/>
              <w:jc w:val="right"/>
              <w:rPr>
                <w:sz w:val="16"/>
              </w:rPr>
            </w:pPr>
            <w:r>
              <w:rPr>
                <w:noProof/>
                <w:sz w:val="20"/>
                <w:lang w:eastAsia="de-DE"/>
              </w:rPr>
              <w:drawing>
                <wp:inline distT="0" distB="0" distL="0" distR="0">
                  <wp:extent cx="190500" cy="19050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90500" cy="190500"/>
                          </a:xfrm>
                          <a:prstGeom prst="rect">
                            <a:avLst/>
                          </a:prstGeom>
                          <a:solidFill>
                            <a:srgbClr val="FFFFFF"/>
                          </a:solidFill>
                          <a:ln w="9525">
                            <a:noFill/>
                            <a:miter lim="800000"/>
                            <a:headEnd/>
                            <a:tailEnd/>
                          </a:ln>
                        </pic:spPr>
                      </pic:pic>
                    </a:graphicData>
                  </a:graphic>
                </wp:inline>
              </w:drawing>
            </w:r>
          </w:p>
        </w:tc>
        <w:tc>
          <w:tcPr>
            <w:tcW w:w="2268" w:type="dxa"/>
            <w:shd w:val="clear" w:color="auto" w:fill="auto"/>
          </w:tcPr>
          <w:p w:rsidR="00000000" w:rsidRDefault="00972AFD">
            <w:pPr>
              <w:pStyle w:val="BodyText"/>
              <w:jc w:val="both"/>
              <w:rPr>
                <w:sz w:val="16"/>
              </w:rPr>
            </w:pPr>
            <w:r>
              <w:rPr>
                <w:sz w:val="16"/>
              </w:rPr>
              <w:t>gii die Presse-Agentur GmbH</w:t>
            </w:r>
          </w:p>
          <w:p w:rsidR="00000000" w:rsidRDefault="00972AFD">
            <w:pPr>
              <w:pStyle w:val="BodyText"/>
              <w:rPr>
                <w:sz w:val="16"/>
              </w:rPr>
            </w:pPr>
            <w:r>
              <w:rPr>
                <w:sz w:val="16"/>
              </w:rPr>
              <w:t>Immanuelkirchstraße 12</w:t>
            </w:r>
          </w:p>
          <w:p w:rsidR="00000000" w:rsidRDefault="00972AFD">
            <w:pPr>
              <w:pStyle w:val="BodyText"/>
              <w:jc w:val="both"/>
              <w:rPr>
                <w:sz w:val="16"/>
              </w:rPr>
            </w:pPr>
            <w:r>
              <w:rPr>
                <w:sz w:val="16"/>
              </w:rPr>
              <w:t>10405 Berlin</w:t>
            </w:r>
          </w:p>
          <w:p w:rsidR="00000000" w:rsidRDefault="00972AFD">
            <w:pPr>
              <w:pStyle w:val="BodyText"/>
              <w:jc w:val="both"/>
              <w:rPr>
                <w:sz w:val="16"/>
              </w:rPr>
            </w:pPr>
            <w:r>
              <w:rPr>
                <w:sz w:val="16"/>
              </w:rPr>
              <w:t>Tel.: 0 30 / 53 89 65 -0</w:t>
            </w:r>
          </w:p>
          <w:p w:rsidR="00000000" w:rsidRDefault="00972AFD">
            <w:pPr>
              <w:pStyle w:val="BodyText"/>
              <w:jc w:val="both"/>
              <w:rPr>
                <w:sz w:val="16"/>
              </w:rPr>
            </w:pPr>
            <w:r>
              <w:rPr>
                <w:sz w:val="16"/>
              </w:rPr>
              <w:t>Fax: 0 30 / 53 89 65 -29</w:t>
            </w:r>
          </w:p>
          <w:p w:rsidR="00000000" w:rsidRDefault="00972AFD">
            <w:pPr>
              <w:pStyle w:val="BodyText"/>
              <w:jc w:val="both"/>
              <w:rPr>
                <w:sz w:val="16"/>
              </w:rPr>
            </w:pPr>
            <w:r>
              <w:rPr>
                <w:sz w:val="16"/>
              </w:rPr>
              <w:t>E-Mail: info@gii.de</w:t>
            </w:r>
          </w:p>
          <w:p w:rsidR="00000000" w:rsidRDefault="00972AFD">
            <w:pPr>
              <w:pStyle w:val="BodyText"/>
              <w:jc w:val="both"/>
            </w:pPr>
            <w:r>
              <w:rPr>
                <w:sz w:val="16"/>
              </w:rPr>
              <w:t>Internet: www.gi</w:t>
            </w:r>
            <w:r>
              <w:rPr>
                <w:sz w:val="16"/>
              </w:rPr>
              <w:t>i.de</w:t>
            </w:r>
          </w:p>
        </w:tc>
      </w:tr>
    </w:tbl>
    <w:p w:rsidR="00000000" w:rsidRDefault="00972AFD">
      <w:pPr>
        <w:spacing w:line="360" w:lineRule="auto"/>
        <w:jc w:val="both"/>
      </w:pPr>
    </w:p>
    <w:sectPr w:rsidR="00000000">
      <w:headerReference w:type="default" r:id="rId9"/>
      <w:footerReference w:type="default" r:id="rId10"/>
      <w:headerReference w:type="first" r:id="rId11"/>
      <w:footerReference w:type="first" r:id="rId12"/>
      <w:pgSz w:w="11906" w:h="16838"/>
      <w:pgMar w:top="2268" w:right="2835" w:bottom="851" w:left="1985"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972AFD">
      <w:r>
        <w:separator/>
      </w:r>
    </w:p>
  </w:endnote>
  <w:endnote w:type="continuationSeparator" w:id="0">
    <w:p w:rsidR="00000000" w:rsidRDefault="00972A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swiss"/>
    <w:pitch w:val="variable"/>
    <w:sig w:usb0="00000000" w:usb1="00000000" w:usb2="00000000" w:usb3="00000000" w:csb0="00000000" w:csb1="00000000"/>
  </w:font>
  <w:font w:name="Droid Sans Fallback">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72AFD">
    <w:pPr>
      <w:pStyle w:val="Footer"/>
      <w:tabs>
        <w:tab w:val="clear" w:pos="4536"/>
        <w:tab w:val="clear" w:pos="9072"/>
      </w:tabs>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72AFD">
    <w:pPr>
      <w:pStyle w:val="Footer"/>
      <w:tabs>
        <w:tab w:val="clear" w:pos="4536"/>
        <w:tab w:val="clear" w:pos="9072"/>
      </w:tabs>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972AFD">
      <w:r>
        <w:separator/>
      </w:r>
    </w:p>
  </w:footnote>
  <w:footnote w:type="continuationSeparator" w:id="0">
    <w:p w:rsidR="00000000" w:rsidRDefault="00972A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72AFD">
    <w:pPr>
      <w:pStyle w:val="Header"/>
      <w:tabs>
        <w:tab w:val="clear" w:pos="4536"/>
        <w:tab w:val="clear" w:pos="9072"/>
      </w:tabs>
    </w:pPr>
    <w:r>
      <w:rPr>
        <w:noProof/>
        <w:lang w:eastAsia="de-DE"/>
      </w:rPr>
      <w:drawing>
        <wp:anchor distT="0" distB="0" distL="114935" distR="114935" simplePos="0" relativeHeight="251658240" behindDoc="0" locked="0" layoutInCell="1" allowOverlap="1">
          <wp:simplePos x="0" y="0"/>
          <wp:positionH relativeFrom="column">
            <wp:posOffset>1665605</wp:posOffset>
          </wp:positionH>
          <wp:positionV relativeFrom="paragraph">
            <wp:posOffset>284480</wp:posOffset>
          </wp:positionV>
          <wp:extent cx="1203960" cy="499745"/>
          <wp:effectExtent l="1905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203960" cy="499745"/>
                  </a:xfrm>
                  <a:prstGeom prst="rect">
                    <a:avLst/>
                  </a:prstGeom>
                  <a:solidFill>
                    <a:srgbClr val="FFFFFF">
                      <a:alpha val="0"/>
                    </a:srgbClr>
                  </a:solidFill>
                  <a:ln w="9525">
                    <a:noFill/>
                    <a:miter lim="800000"/>
                    <a:headEnd/>
                    <a:tailEnd/>
                  </a:ln>
                </pic:spPr>
              </pic:pic>
            </a:graphicData>
          </a:graphic>
        </wp:anchor>
      </w:drawing>
    </w:r>
    <w:r>
      <w:rPr>
        <w:sz w:val="18"/>
      </w:rPr>
      <w:t>S</w:t>
    </w:r>
    <w:r>
      <w:rPr>
        <w:sz w:val="18"/>
      </w:rPr>
      <w:t xml:space="preserve">eite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2</w:t>
    </w:r>
    <w:r>
      <w:rPr>
        <w:rStyle w:val="PageNumber"/>
        <w:sz w:val="18"/>
      </w:rPr>
      <w:fldChar w:fldCharType="end"/>
    </w:r>
    <w:r>
      <w:rPr>
        <w:rStyle w:val="PageNumber"/>
        <w:sz w:val="18"/>
      </w:rPr>
      <w:t>:</w:t>
    </w:r>
    <w:r>
      <w:rPr>
        <w:rStyle w:val="PageNumber"/>
        <w:sz w:val="18"/>
      </w:rPr>
      <w:tab/>
      <w:t>POISITAL TILTIX Neigungssensor</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72AFD">
    <w:pPr>
      <w:pStyle w:val="Header"/>
      <w:tabs>
        <w:tab w:val="clear" w:pos="4536"/>
        <w:tab w:val="clear" w:pos="9072"/>
      </w:tabs>
      <w:rPr>
        <w:sz w:val="2"/>
      </w:rPr>
    </w:pPr>
    <w:r>
      <w:rPr>
        <w:noProof/>
        <w:lang w:eastAsia="de-DE"/>
      </w:rPr>
      <w:drawing>
        <wp:anchor distT="0" distB="0" distL="114935" distR="114935" simplePos="0" relativeHeight="251657216" behindDoc="0" locked="0" layoutInCell="1" allowOverlap="1">
          <wp:simplePos x="0" y="0"/>
          <wp:positionH relativeFrom="column">
            <wp:posOffset>1665605</wp:posOffset>
          </wp:positionH>
          <wp:positionV relativeFrom="paragraph">
            <wp:posOffset>281305</wp:posOffset>
          </wp:positionV>
          <wp:extent cx="1203960" cy="499745"/>
          <wp:effectExtent l="1905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03960" cy="499745"/>
                  </a:xfrm>
                  <a:prstGeom prst="rect">
                    <a:avLst/>
                  </a:prstGeom>
                  <a:solidFill>
                    <a:srgbClr val="FFFFFF">
                      <a:alpha val="0"/>
                    </a:srgbClr>
                  </a:solid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o:colormenu v:ext="edit" fillcolor="none [4]" strokecolor="none [1]" shadowcolor="none [2]"/>
    </o:shapedefaults>
  </w:hdrShapeDefaults>
  <w:footnotePr>
    <w:footnote w:id="-1"/>
    <w:footnote w:id="0"/>
  </w:footnotePr>
  <w:endnotePr>
    <w:endnote w:id="-1"/>
    <w:endnote w:id="0"/>
  </w:endnotePr>
  <w:compat/>
  <w:rsids>
    <w:rsidRoot w:val="00972AFD"/>
    <w:rsid w:val="00972AFD"/>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Arial" w:hAnsi="Arial" w:cs="Arial"/>
      <w:lang w:eastAsia="zh-CN"/>
    </w:rPr>
  </w:style>
  <w:style w:type="paragraph" w:styleId="Heading1">
    <w:name w:val="heading 1"/>
    <w:basedOn w:val="Normal"/>
    <w:next w:val="Normal"/>
    <w:qFormat/>
    <w:pPr>
      <w:keepNext/>
      <w:numPr>
        <w:numId w:val="2"/>
      </w:numPr>
      <w:outlineLvl w:val="0"/>
    </w:pPr>
    <w:rPr>
      <w:b/>
      <w:sz w:val="32"/>
    </w:rPr>
  </w:style>
  <w:style w:type="paragraph" w:styleId="Heading2">
    <w:name w:val="heading 2"/>
    <w:basedOn w:val="Normal"/>
    <w:next w:val="Normal"/>
    <w:qFormat/>
    <w:pPr>
      <w:keepNext/>
      <w:numPr>
        <w:ilvl w:val="1"/>
        <w:numId w:val="2"/>
      </w:numPr>
      <w:ind w:left="0" w:right="1699" w:firstLine="0"/>
      <w:jc w:val="both"/>
      <w:outlineLvl w:val="1"/>
    </w:pPr>
    <w:rPr>
      <w:b/>
      <w:sz w:val="32"/>
    </w:rPr>
  </w:style>
  <w:style w:type="paragraph" w:styleId="Heading3">
    <w:name w:val="heading 3"/>
    <w:basedOn w:val="Normal"/>
    <w:next w:val="Normal"/>
    <w:qFormat/>
    <w:pPr>
      <w:keepNext/>
      <w:numPr>
        <w:ilvl w:val="2"/>
        <w:numId w:val="2"/>
      </w:numPr>
      <w:outlineLvl w:val="2"/>
    </w:pPr>
    <w:rPr>
      <w:sz w:val="24"/>
    </w:rPr>
  </w:style>
  <w:style w:type="paragraph" w:styleId="Heading4">
    <w:name w:val="heading 4"/>
    <w:basedOn w:val="Normal"/>
    <w:next w:val="Normal"/>
    <w:qFormat/>
    <w:pPr>
      <w:keepNext/>
      <w:numPr>
        <w:ilvl w:val="3"/>
        <w:numId w:val="2"/>
      </w:numPr>
      <w:outlineLvl w:val="3"/>
    </w:pPr>
    <w:rPr>
      <w:b/>
      <w:sz w:val="24"/>
    </w:rPr>
  </w:style>
  <w:style w:type="paragraph" w:styleId="Heading5">
    <w:name w:val="heading 5"/>
    <w:basedOn w:val="Normal"/>
    <w:next w:val="Normal"/>
    <w:qFormat/>
    <w:pPr>
      <w:keepNext/>
      <w:numPr>
        <w:ilvl w:val="4"/>
        <w:numId w:val="2"/>
      </w:numP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Absatz-Standardschriftart">
    <w:name w:val="Absatz-Standardschriftart"/>
  </w:style>
  <w:style w:type="character" w:styleId="Hyperlink">
    <w:name w:val="Hyperlink"/>
    <w:rPr>
      <w:color w:val="0000FF"/>
      <w:u w:val="single"/>
    </w:rPr>
  </w:style>
  <w:style w:type="character" w:styleId="PageNumber">
    <w:name w:val="page number"/>
    <w:basedOn w:val="Absatz-Standardschriftart"/>
  </w:style>
  <w:style w:type="paragraph" w:customStyle="1" w:styleId="berschrift">
    <w:name w:val="Überschrift"/>
    <w:basedOn w:val="Normal"/>
    <w:next w:val="BodyText"/>
    <w:pPr>
      <w:keepNext/>
      <w:spacing w:before="240" w:after="120"/>
    </w:pPr>
    <w:rPr>
      <w:rFonts w:ascii="Liberation Sans" w:eastAsia="Droid Sans Fallback" w:hAnsi="Liberation Sans" w:cs="FreeSans"/>
      <w:sz w:val="28"/>
      <w:szCs w:val="28"/>
    </w:rPr>
  </w:style>
  <w:style w:type="paragraph" w:styleId="BodyText">
    <w:name w:val="Body Text"/>
    <w:basedOn w:val="Normal"/>
    <w:rPr>
      <w:sz w:val="24"/>
    </w:r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Verzeichnis">
    <w:name w:val="Verzeichnis"/>
    <w:basedOn w:val="Normal"/>
    <w:pPr>
      <w:suppressLineNumbers/>
    </w:pPr>
    <w:rPr>
      <w:rFonts w:cs="FreeSans"/>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styleId="BodyTextIndent">
    <w:name w:val="Body Text Indent"/>
    <w:basedOn w:val="Normal"/>
    <w:pPr>
      <w:spacing w:line="360" w:lineRule="auto"/>
      <w:ind w:right="1701"/>
      <w:jc w:val="both"/>
    </w:pPr>
  </w:style>
  <w:style w:type="paragraph" w:customStyle="1" w:styleId="Textkrper3">
    <w:name w:val="Textkörper 3"/>
    <w:basedOn w:val="Normal"/>
    <w:rPr>
      <w:sz w:val="16"/>
    </w:rPr>
  </w:style>
  <w:style w:type="paragraph" w:customStyle="1" w:styleId="TabellenInhalt">
    <w:name w:val="Tabellen Inhalt"/>
    <w:basedOn w:val="Normal"/>
    <w:pPr>
      <w:suppressLineNumbers/>
    </w:pPr>
  </w:style>
  <w:style w:type="paragraph" w:customStyle="1" w:styleId="Tabellenberschrift">
    <w:name w:val="Tabellen Überschrift"/>
    <w:basedOn w:val="TabellenInhalt"/>
    <w:pPr>
      <w:jc w:val="center"/>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DC86A88711440A93D292D15606BCF" ma:contentTypeVersion="16" ma:contentTypeDescription="Create a new document." ma:contentTypeScope="" ma:versionID="a15e4a561e35a4daaab78a0eb2cf707e">
  <xsd:schema xmlns:xsd="http://www.w3.org/2001/XMLSchema" xmlns:xs="http://www.w3.org/2001/XMLSchema" xmlns:p="http://schemas.microsoft.com/office/2006/metadata/properties" xmlns:ns2="d845bd89-adb9-42f4-88e5-78672f6c0fa9" xmlns:ns3="ecd154fe-f207-4c22-8742-2fa9432b647f" targetNamespace="http://schemas.microsoft.com/office/2006/metadata/properties" ma:root="true" ma:fieldsID="2177bab97a39e61c63aafb037a9cd335" ns2:_="" ns3:_="">
    <xsd:import namespace="d845bd89-adb9-42f4-88e5-78672f6c0fa9"/>
    <xsd:import namespace="ecd154fe-f207-4c22-8742-2fa9432b64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MediaServiceLocation" minOccurs="0"/>
                <xsd:element ref="ns2:complet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5bd89-adb9-42f4-88e5-78672f6c0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f190fc9-e646-4cda-bdf8-9e0cf442d89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completed" ma:index="22" nillable="true" ma:displayName="completed" ma:default="1" ma:description="yes" ma:format="Dropdown" ma:internalName="completed">
      <xsd:simpleType>
        <xsd:restriction base="dms:Boolea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d154fe-f207-4c22-8742-2fa9432b647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b117989-5864-4835-a400-782ad6325172}" ma:internalName="TaxCatchAll" ma:showField="CatchAllData" ma:web="ecd154fe-f207-4c22-8742-2fa9432b647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d845bd89-adb9-42f4-88e5-78672f6c0fa9">true</completed>
    <TaxCatchAll xmlns="ecd154fe-f207-4c22-8742-2fa9432b647f" xsi:nil="true"/>
    <lcf76f155ced4ddcb4097134ff3c332f xmlns="d845bd89-adb9-42f4-88e5-78672f6c0f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CD63FD-5974-44D3-909D-02383702AE23}"/>
</file>

<file path=customXml/itemProps2.xml><?xml version="1.0" encoding="utf-8"?>
<ds:datastoreItem xmlns:ds="http://schemas.openxmlformats.org/officeDocument/2006/customXml" ds:itemID="{83D9D7FF-2B56-42F9-8219-A866CB8A8BF3}"/>
</file>

<file path=customXml/itemProps3.xml><?xml version="1.0" encoding="utf-8"?>
<ds:datastoreItem xmlns:ds="http://schemas.openxmlformats.org/officeDocument/2006/customXml" ds:itemID="{B14525CD-A678-401B-BFC9-4F5E5AB8D9F1}"/>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3099</Characters>
  <Application>Microsoft Office Word</Application>
  <DocSecurity>4</DocSecurity>
  <Lines>25</Lines>
  <Paragraphs>7</Paragraphs>
  <ScaleCrop>false</ScaleCrop>
  <Company>Fraba AG</Company>
  <LinksUpToDate>false</LinksUpToDate>
  <CharactersWithSpaces>3583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Team 13</dc:creator>
  <cp:lastModifiedBy>JHA</cp:lastModifiedBy>
  <cp:revision>2</cp:revision>
  <cp:lastPrinted>2015-04-29T12:08:00Z</cp:lastPrinted>
  <dcterms:created xsi:type="dcterms:W3CDTF">2015-05-19T08:48:00Z</dcterms:created>
  <dcterms:modified xsi:type="dcterms:W3CDTF">2015-05-19T08:48:00Z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0x0101002ECDC86A88711440A93D292D15606BCF</vt:lpwstr>
  </property>
</Properties>
</file>