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DISCLAIMER NOT SECONDARY PORTAL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Deze disclaimer is van toepassing op het gebruik van de website en de SaaS-dienst van [Naam Bedrijf] (hierna: "Leverancier"). Door gebruik te maken van onze diensten en website gaat u akkoord met deze disclaimer.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Artikel 1 – Algemeen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 De informatie op onze website en binnen de SaaS-dienst wordt met zorg samengesteld, maar Leverancier kan niet garanderen dat de inhoud te allen tijde volledig, correct en actueel is.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 Leverancier behoudt zich het recht voor om de inhoud op elk moment zonder voorafgaande kennisgeving te wijzigen.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Artikel 2 – Gebruik van de SaaS-Dienst en Website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 Het gebruik van onze SaaS-dienst en website is voor eigen risico van de gebruiker. Leverancier is niet aansprakelijk voor schade die voortvloeit uit het gebruik van de dienst of website.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 De gebruiker is zelf verantwoordelijk voor de beveiliging en bescherming van zijn inloggegevens en apparaten.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Artikel 3 – Aansprakelijkheid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 Leverancier is niet aansprakelijk voor enige schade, direct of indirect, voortvloeiend uit het gebruik van de website of SaaS-dienst.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 Leverancier is niet verantwoordelijk voor storingen, onderbrekingen of fouten in de beschikbaarheid van de SaaS-dienst.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 Links naar externe websites vallen buiten de controle van Leverancier. Leverancier is niet verantwoordelijk voor de inhoud van deze externe websites.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Artikel 4 – Intellectueel Eigendom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 Alle intellectuele eigendomsrechten met betrekking tot de website en SaaS-dienst berusten bij Leverancier.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 Het is niet toegestaan om zonder schriftelijke toestemming van Leverancier de inhoud van de website of SaaS-dienst te kopiëren, verspreiden of anderszins te gebruiken.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Artikel 5 – Privacy en Gegevensbescherming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 Leverancier verwerkt persoonsgegevens conform de geldende wet- en regelgeving. Raadpleeg onze Privacyverklaring voor meer informatie.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 Leverancier is niet verantwoordelijk voor gegevensverlies of inbreuken veroorzaakt door de gebruiker zelf.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Artikel 6 – productanalytics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Gebruik van het platform kan worden geanalyseerd via productanalytics om de werking en gebruikerservaring van de software te verbeteren.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Artikel 7 – Wijzigingen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 Leverancier behoudt zich het recht voor om deze disclaimer op elk moment aan te passen.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 De meest actuele versie van de disclaimer is te allen tijde beschikbaar op onze website.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Artikel 8 – Toepasselijk Recht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 Op deze disclaimer is Nederlands recht van toepassing. 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 Geschillen die voortvloeien uit het gebruik van de SaaS-dienst of website worden voorgelegd aan de bevoegde rechter te [Plaats].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Contactgegevens</w:t>
        <w:br w:type="textWrapping"/>
      </w:r>
      <w:r w:rsidDel="00000000" w:rsidR="00000000" w:rsidRPr="00000000">
        <w:rPr>
          <w:rtl w:val="0"/>
        </w:rPr>
        <w:t xml:space="preserve">Voor vragen over deze disclaimer kunt u contact met ons opnemen via weare@notsecondary.com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