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DATARETENTIEBELEID</w:t>
      </w:r>
    </w:p>
    <w:p w:rsidR="00000000" w:rsidDel="00000000" w:rsidP="00000000" w:rsidRDefault="00000000" w:rsidRPr="00000000" w14:paraId="00000002">
      <w:pPr>
        <w:spacing w:after="240" w:before="240" w:lineRule="auto"/>
        <w:rPr/>
      </w:pPr>
      <w:r w:rsidDel="00000000" w:rsidR="00000000" w:rsidRPr="00000000">
        <w:rPr>
          <w:rtl w:val="0"/>
        </w:rPr>
        <w:br w:type="textWrapping"/>
      </w:r>
      <w:r w:rsidDel="00000000" w:rsidR="00000000" w:rsidRPr="00000000">
        <w:rPr>
          <w:b w:val="1"/>
          <w:bCs w:val="1"/>
          <w:rtl w:val="0"/>
        </w:rPr>
        <w:t xml:space="preserve">Laatst bijgewerkt:</w:t>
      </w:r>
      <w:r w:rsidDel="00000000" w:rsidR="00000000" w:rsidRPr="00000000">
        <w:rPr>
          <w:rtl w:val="0"/>
        </w:rPr>
        <w:t xml:space="preserve"> 4 maart 2026</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1. Inleiding</w:t>
        <w:br w:type="textWrapping"/>
      </w:r>
      <w:r w:rsidDel="00000000" w:rsidR="00000000" w:rsidRPr="00000000">
        <w:rPr>
          <w:rtl w:val="0"/>
        </w:rPr>
        <w:t xml:space="preserve">Not Secondary</w:t>
      </w:r>
      <w:r w:rsidDel="00000000" w:rsidR="00000000" w:rsidRPr="00000000">
        <w:rPr>
          <w:rtl w:val="0"/>
        </w:rPr>
        <w:t xml:space="preserve"> hecht groot belang aan de bescherming van persoonsgegevens. Dit Dataretentiebeleid beschrijft hoe lang wij persoonsgegevens bewaren en wanneer deze worden verwijderd, conform de Algemene Verordening Gegevensbescherming (AVG) en andere toepasselijke wetgeving.</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2. Toepassingsgebied</w:t>
        <w:br w:type="textWrapping"/>
      </w:r>
      <w:r w:rsidDel="00000000" w:rsidR="00000000" w:rsidRPr="00000000">
        <w:rPr>
          <w:rtl w:val="0"/>
        </w:rPr>
        <w:t xml:space="preserve">Dit beleid is van toepassing op alle persoonsgegevens die worden verwerkt via onze SaaS-oplossing en alle gerelateerde diensten. Het geldt voor alle klanten, gebruikers en betrokkenen van wie wij gegevens verwerken.</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3. Bewaartermijnen</w:t>
        <w:br w:type="textWrapping"/>
      </w:r>
      <w:r w:rsidDel="00000000" w:rsidR="00000000" w:rsidRPr="00000000">
        <w:rPr>
          <w:rtl w:val="0"/>
        </w:rPr>
        <w:t xml:space="preserve">Wij hanteren de volgende bewaartermijnen voor verschillende categorieën persoonsgegevens:</w:t>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95"/>
        <w:gridCol w:w="2805"/>
        <w:gridCol w:w="3000"/>
        <w:tblGridChange w:id="0">
          <w:tblGrid>
            <w:gridCol w:w="3195"/>
            <w:gridCol w:w="2805"/>
            <w:gridCol w:w="30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jc w:val="center"/>
              <w:rPr/>
            </w:pPr>
            <w:r w:rsidDel="00000000" w:rsidR="00000000" w:rsidRPr="00000000">
              <w:rPr>
                <w:b w:val="1"/>
                <w:bCs w:val="1"/>
                <w:rtl w:val="0"/>
              </w:rPr>
              <w:t xml:space="preserve">Categorie persoonsgegevens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jc w:val="center"/>
              <w:rPr/>
            </w:pPr>
            <w:r w:rsidDel="00000000" w:rsidR="00000000" w:rsidRPr="00000000">
              <w:rPr>
                <w:b w:val="1"/>
                <w:bCs w:val="1"/>
                <w:rtl w:val="0"/>
              </w:rPr>
              <w:t xml:space="preserve">Bewaartermijn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jc w:val="center"/>
              <w:rPr/>
            </w:pPr>
            <w:r w:rsidDel="00000000" w:rsidR="00000000" w:rsidRPr="00000000">
              <w:rPr>
                <w:b w:val="1"/>
                <w:bCs w:val="1"/>
                <w:rtl w:val="0"/>
              </w:rPr>
              <w:t xml:space="preserve">Reden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Gebruikersaccountgegevens (naam, e-mail, inloggegevens)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rPr/>
            </w:pPr>
            <w:r w:rsidDel="00000000" w:rsidR="00000000" w:rsidRPr="00000000">
              <w:rPr>
                <w:rtl w:val="0"/>
              </w:rPr>
              <w:t xml:space="preserve">12 maanden na beëindiging van de overeenkomst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rPr/>
            </w:pPr>
            <w:r w:rsidDel="00000000" w:rsidR="00000000" w:rsidRPr="00000000">
              <w:rPr>
                <w:rtl w:val="0"/>
              </w:rPr>
              <w:t xml:space="preserve">Noodzakelijk voor heractivatie binnen een redelijke periode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rPr/>
            </w:pPr>
            <w:r w:rsidDel="00000000" w:rsidR="00000000" w:rsidRPr="00000000">
              <w:rPr>
                <w:rtl w:val="0"/>
              </w:rPr>
              <w:t xml:space="preserve">Facturerings- en betalingsgegevens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rPr/>
            </w:pPr>
            <w:r w:rsidDel="00000000" w:rsidR="00000000" w:rsidRPr="00000000">
              <w:rPr>
                <w:rtl w:val="0"/>
              </w:rPr>
              <w:t xml:space="preserve">7 jaar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rPr/>
            </w:pPr>
            <w:r w:rsidDel="00000000" w:rsidR="00000000" w:rsidRPr="00000000">
              <w:rPr>
                <w:rtl w:val="0"/>
              </w:rPr>
              <w:t xml:space="preserve">Wettelijke verplichting (Belastingwetgeving)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rPr/>
            </w:pPr>
            <w:r w:rsidDel="00000000" w:rsidR="00000000" w:rsidRPr="00000000">
              <w:rPr>
                <w:rtl w:val="0"/>
              </w:rPr>
              <w:t xml:space="preserve">Ingevulde deep dive en pulse vragenlijsten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rPr/>
            </w:pPr>
            <w:r w:rsidDel="00000000" w:rsidR="00000000" w:rsidRPr="00000000">
              <w:rPr>
                <w:rtl w:val="0"/>
              </w:rPr>
              <w:t xml:space="preserve">5 jaar na verzameling in identificeerbare vorm en daarna onbeperkt in geanonimiseerde vorm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rPr/>
            </w:pPr>
            <w:r w:rsidDel="00000000" w:rsidR="00000000" w:rsidRPr="00000000">
              <w:rPr>
                <w:rtl w:val="0"/>
              </w:rPr>
              <w:t xml:space="preserve">Analyse- en benchmarkingdoeleinden, waarna gegevens geanonimiseerd worden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rPr/>
            </w:pPr>
            <w:r w:rsidDel="00000000" w:rsidR="00000000" w:rsidRPr="00000000">
              <w:rPr>
                <w:rtl w:val="0"/>
              </w:rPr>
              <w:t xml:space="preserve">Secundaire arbeidsvoorwaarden aangeleverd door klanten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rPr/>
            </w:pPr>
            <w:r w:rsidDel="00000000" w:rsidR="00000000" w:rsidRPr="00000000">
              <w:rPr>
                <w:rtl w:val="0"/>
              </w:rPr>
              <w:t xml:space="preserve">Onbeperkt in geanonimiseerde vorm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rPr/>
            </w:pPr>
            <w:r w:rsidDel="00000000" w:rsidR="00000000" w:rsidRPr="00000000">
              <w:rPr>
                <w:rtl w:val="0"/>
              </w:rPr>
              <w:t xml:space="preserve">Kennisdatabase en benchmarking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rPr/>
            </w:pPr>
            <w:r w:rsidDel="00000000" w:rsidR="00000000" w:rsidRPr="00000000">
              <w:rPr>
                <w:rtl w:val="0"/>
              </w:rPr>
              <w:t xml:space="preserve">Supportverzoeken en communicatie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rPr/>
            </w:pPr>
            <w:r w:rsidDel="00000000" w:rsidR="00000000" w:rsidRPr="00000000">
              <w:rPr>
                <w:rtl w:val="0"/>
              </w:rPr>
              <w:t xml:space="preserve">2 jaar na afhandeling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rPr/>
            </w:pPr>
            <w:r w:rsidDel="00000000" w:rsidR="00000000" w:rsidRPr="00000000">
              <w:rPr>
                <w:rtl w:val="0"/>
              </w:rPr>
              <w:t xml:space="preserve">Verbetering van klantenservice</w:t>
            </w:r>
          </w:p>
        </w:tc>
      </w:tr>
    </w:tbl>
    <w:p w:rsidR="00000000" w:rsidDel="00000000" w:rsidP="00000000" w:rsidRDefault="00000000" w:rsidRPr="00000000" w14:paraId="00000018">
      <w:pPr>
        <w:spacing w:after="240" w:before="240" w:lineRule="auto"/>
        <w:rPr/>
      </w:pPr>
      <w:r w:rsidDel="00000000" w:rsidR="00000000" w:rsidRPr="00000000">
        <w:rPr>
          <w:b w:val="1"/>
          <w:bCs w:val="1"/>
          <w:rtl w:val="0"/>
        </w:rPr>
        <w:t xml:space="preserve">4. Verwijdering van Gegevens</w:t>
        <w:br w:type="textWrapping"/>
      </w:r>
      <w:r w:rsidDel="00000000" w:rsidR="00000000" w:rsidRPr="00000000">
        <w:rPr>
          <w:rtl w:val="0"/>
        </w:rPr>
        <w:t xml:space="preserve">Na het verstrijken van de bewaartermijnen worden persoonsgegevens veilig verwijderd of geanonimiseerd, zodat deze niet langer te herleiden zijn naar individuele personen. Wij hanteren de volgende verwijderingsmethoden:</w:t>
      </w:r>
    </w:p>
    <w:p w:rsidR="00000000" w:rsidDel="00000000" w:rsidP="00000000" w:rsidRDefault="00000000" w:rsidRPr="00000000" w14:paraId="00000019">
      <w:pPr>
        <w:numPr>
          <w:ilvl w:val="0"/>
          <w:numId w:val="1"/>
        </w:numPr>
        <w:spacing w:after="0" w:afterAutospacing="0" w:before="240" w:lineRule="auto"/>
        <w:ind w:left="720" w:hanging="360"/>
      </w:pPr>
      <w:r w:rsidDel="00000000" w:rsidR="00000000" w:rsidRPr="00000000">
        <w:rPr>
          <w:rtl w:val="0"/>
        </w:rPr>
        <w:t xml:space="preserve">Automatische verwijdering van gebruikersaccounts en bijbehorende gegevens na de gestelde termijn.</w:t>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rtl w:val="0"/>
        </w:rPr>
        <w:t xml:space="preserve">Handmatige verwijdering van facturerings- en contractgegevens na de wettelijke bewaartermijn.</w:t>
      </w:r>
    </w:p>
    <w:p w:rsidR="00000000" w:rsidDel="00000000" w:rsidP="00000000" w:rsidRDefault="00000000" w:rsidRPr="00000000" w14:paraId="0000001B">
      <w:pPr>
        <w:numPr>
          <w:ilvl w:val="0"/>
          <w:numId w:val="1"/>
        </w:numPr>
        <w:spacing w:after="240" w:before="0" w:beforeAutospacing="0" w:lineRule="auto"/>
        <w:ind w:left="720" w:hanging="360"/>
      </w:pPr>
      <w:r w:rsidDel="00000000" w:rsidR="00000000" w:rsidRPr="00000000">
        <w:rPr>
          <w:rtl w:val="0"/>
        </w:rPr>
        <w:t xml:space="preserve">Anonimiseren van onderzoeks- en benchmarkgegevens, zodat deze niet meer herleidbaar zijn.</w:t>
      </w: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5. Gebruik van analytics en sessie-analyse</w:t>
      </w:r>
    </w:p>
    <w:p w:rsidR="00000000" w:rsidDel="00000000" w:rsidP="00000000" w:rsidRDefault="00000000" w:rsidRPr="00000000" w14:paraId="0000001D">
      <w:pPr>
        <w:rPr/>
      </w:pPr>
      <w:r w:rsidDel="00000000" w:rsidR="00000000" w:rsidRPr="00000000">
        <w:rPr>
          <w:rtl w:val="0"/>
        </w:rPr>
        <w:t xml:space="preserve">Gebruik van het platform kan worden geanalyseerd via productanalytics. Hierbij kunnen sessiegegevens worden vastgelegd om inzicht te krijgen in het gebruik van het systeem.</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Deze gegevens worden uitsluitend gebruikt voor productverbetering en ondersteuning van klanten.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rtl w:val="0"/>
        </w:rPr>
        <w:t xml:space="preserve">Session recordings en vergelijkbare gebruiksanalyses worden maximaal 90 dagen bewaard, tenzij een langere bewaartermijn noodzakelijk is voor het oplossen van technische problemen of productontwikkeling.</w:t>
      </w: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b w:val="1"/>
          <w:bCs w:val="1"/>
          <w:rtl w:val="0"/>
        </w:rPr>
        <w:t xml:space="preserve">6. Uitzonderingen en Wettelijke Verplichtingen</w:t>
        <w:br w:type="textWrapping"/>
      </w:r>
      <w:r w:rsidDel="00000000" w:rsidR="00000000" w:rsidRPr="00000000">
        <w:rPr>
          <w:rtl w:val="0"/>
        </w:rPr>
        <w:t xml:space="preserve">In sommige gevallen kunnen wij persoonsgegevens langer bewaren als dit wettelijk verplicht is of als er een gerechtvaardigd belang bestaat, zoals lopende juridische geschillen of fraudepreventie.</w:t>
      </w:r>
    </w:p>
    <w:p w:rsidR="00000000" w:rsidDel="00000000" w:rsidP="00000000" w:rsidRDefault="00000000" w:rsidRPr="00000000" w14:paraId="00000023">
      <w:pPr>
        <w:spacing w:after="240" w:before="240" w:lineRule="auto"/>
        <w:rPr/>
      </w:pPr>
      <w:r w:rsidDel="00000000" w:rsidR="00000000" w:rsidRPr="00000000">
        <w:rPr>
          <w:b w:val="1"/>
          <w:bCs w:val="1"/>
          <w:rtl w:val="0"/>
        </w:rPr>
        <w:t xml:space="preserve">7. Rechten van Betrokkenen</w:t>
        <w:br w:type="textWrapping"/>
      </w:r>
      <w:r w:rsidDel="00000000" w:rsidR="00000000" w:rsidRPr="00000000">
        <w:rPr>
          <w:rtl w:val="0"/>
        </w:rPr>
        <w:t xml:space="preserve">Betrokkenen hebben het recht om hun gegevens in te zien, te corrigeren, te laten verwijderen of over te dragen. Verzoeken hiertoe kunnen worden ingediend via </w:t>
      </w:r>
      <w:hyperlink r:id="rId6">
        <w:r w:rsidDel="00000000" w:rsidR="00000000" w:rsidRPr="00000000">
          <w:rPr>
            <w:color w:val="1155cc"/>
            <w:u w:val="single"/>
            <w:rtl w:val="0"/>
          </w:rPr>
          <w:t xml:space="preserve">weare@notsecondary.com</w:t>
        </w:r>
      </w:hyperlink>
      <w:r w:rsidDel="00000000" w:rsidR="00000000" w:rsidRPr="00000000">
        <w:rPr>
          <w:rtl w:val="0"/>
        </w:rPr>
        <w:t xml:space="preserve">. </w:t>
      </w:r>
    </w:p>
    <w:p w:rsidR="00000000" w:rsidDel="00000000" w:rsidP="00000000" w:rsidRDefault="00000000" w:rsidRPr="00000000" w14:paraId="00000024">
      <w:pPr>
        <w:spacing w:after="240" w:before="240" w:lineRule="auto"/>
        <w:rPr/>
      </w:pPr>
      <w:r w:rsidDel="00000000" w:rsidR="00000000" w:rsidRPr="00000000">
        <w:rPr>
          <w:b w:val="1"/>
          <w:bCs w:val="1"/>
          <w:rtl w:val="0"/>
        </w:rPr>
        <w:t xml:space="preserve">8. Wijzigingen in het Dataretentiebeleid</w:t>
        <w:br w:type="textWrapping"/>
      </w:r>
      <w:r w:rsidDel="00000000" w:rsidR="00000000" w:rsidRPr="00000000">
        <w:rPr>
          <w:rtl w:val="0"/>
        </w:rPr>
        <w:t xml:space="preserve">Wij behouden ons het recht voor om dit beleid periodiek te herzien en bij te werken. De meest recente versie is altijd beschikbaar op onze website.</w:t>
      </w:r>
    </w:p>
    <w:p w:rsidR="00000000" w:rsidDel="00000000" w:rsidP="00000000" w:rsidRDefault="00000000" w:rsidRPr="00000000" w14:paraId="00000025">
      <w:pPr>
        <w:spacing w:after="240" w:before="240" w:lineRule="auto"/>
        <w:rPr/>
      </w:pPr>
      <w:r w:rsidDel="00000000" w:rsidR="00000000" w:rsidRPr="00000000">
        <w:rPr>
          <w:b w:val="1"/>
          <w:bCs w:val="1"/>
          <w:rtl w:val="0"/>
        </w:rPr>
        <w:t xml:space="preserve">9. Contactgegevens</w:t>
        <w:br w:type="textWrapping"/>
      </w:r>
      <w:r w:rsidDel="00000000" w:rsidR="00000000" w:rsidRPr="00000000">
        <w:rPr>
          <w:rtl w:val="0"/>
        </w:rPr>
        <w:t xml:space="preserve">Voor vragen over dit beleid kunt u contact met ons opnemen via: </w:t>
      </w:r>
      <w:hyperlink r:id="rId7">
        <w:r w:rsidDel="00000000" w:rsidR="00000000" w:rsidRPr="00000000">
          <w:rPr>
            <w:color w:val="1155cc"/>
            <w:u w:val="single"/>
            <w:rtl w:val="0"/>
          </w:rPr>
          <w:t xml:space="preserve">weare@notsecondary.com</w:t>
        </w:r>
      </w:hyperlink>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weare@notsecondary.com" TargetMode="External"/><Relationship Id="rId7" Type="http://schemas.openxmlformats.org/officeDocument/2006/relationships/hyperlink" Target="mailto:weare@notsecond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