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5856" w14:textId="77777777" w:rsidR="00A77B3E" w:rsidRDefault="00BE0101">
      <w:pPr>
        <w:spacing w:line="288" w:lineRule="auto"/>
        <w:outlineLvl w:val="0"/>
        <w:rPr>
          <w:rFonts w:ascii="Source Sans Pro" w:eastAsia="Source Sans Pro" w:hAnsi="Source Sans Pro" w:cs="Source Sans Pro"/>
          <w:b/>
          <w:sz w:val="38"/>
        </w:rPr>
      </w:pPr>
      <w:bookmarkStart w:id="0" w:name="Section1"/>
      <w:bookmarkEnd w:id="0"/>
      <w:r>
        <w:rPr>
          <w:rFonts w:ascii="Source Sans Pro" w:eastAsia="Source Sans Pro" w:hAnsi="Source Sans Pro" w:cs="Source Sans Pro"/>
          <w:b/>
          <w:sz w:val="38"/>
        </w:rPr>
        <w:t>Helios Fairfax Partners Corporation</w:t>
      </w:r>
      <w:r>
        <w:rPr>
          <w:rFonts w:ascii="Source Sans Pro" w:eastAsia="Source Sans Pro" w:hAnsi="Source Sans Pro" w:cs="Source Sans Pro"/>
          <w:sz w:val="52"/>
        </w:rPr>
        <w:t xml:space="preserve"> </w:t>
      </w:r>
      <w:r>
        <w:rPr>
          <w:rFonts w:ascii="Source Sans Pro" w:eastAsia="Source Sans Pro" w:hAnsi="Source Sans Pro" w:cs="Source Sans Pro"/>
          <w:sz w:val="52"/>
        </w:rPr>
        <w:tab/>
      </w:r>
      <w:r>
        <w:rPr>
          <w:rFonts w:ascii="Source Sans Pro" w:eastAsia="Source Sans Pro" w:hAnsi="Source Sans Pro" w:cs="Source Sans Pro"/>
          <w:sz w:val="52"/>
        </w:rPr>
        <w:tab/>
      </w:r>
      <w:r>
        <w:rPr>
          <w:rFonts w:ascii="Source Sans Pro" w:eastAsia="Source Sans Pro" w:hAnsi="Source Sans Pro" w:cs="Source Sans Pro"/>
          <w:sz w:val="52"/>
        </w:rPr>
        <w:tab/>
      </w:r>
      <w:r>
        <w:rPr>
          <w:rFonts w:ascii="Source Sans Pro" w:eastAsia="Source Sans Pro" w:hAnsi="Source Sans Pro" w:cs="Source Sans Pro"/>
          <w:i/>
          <w:sz w:val="38"/>
        </w:rPr>
        <w:t>News Release</w:t>
      </w:r>
    </w:p>
    <w:p w14:paraId="255AB455" w14:textId="77777777" w:rsidR="00A77B3E" w:rsidRDefault="00BE0101">
      <w:pPr>
        <w:spacing w:line="288" w:lineRule="auto"/>
        <w:rPr>
          <w:rFonts w:ascii="Source Sans Pro" w:eastAsia="Source Sans Pro" w:hAnsi="Source Sans Pro" w:cs="Source Sans Pro"/>
          <w:b/>
          <w:i/>
          <w:sz w:val="25"/>
        </w:rPr>
      </w:pPr>
      <w:r>
        <w:rPr>
          <w:rFonts w:ascii="Source Sans Pro" w:eastAsia="Source Sans Pro" w:hAnsi="Source Sans Pro" w:cs="Source Sans Pro"/>
          <w:b/>
          <w:i/>
          <w:sz w:val="25"/>
        </w:rPr>
        <w:t>TSX Stock Symbol: HFPC.U</w:t>
      </w:r>
    </w:p>
    <w:p w14:paraId="23C4F999" w14:textId="77777777" w:rsidR="00A77B3E" w:rsidRDefault="00A77B3E">
      <w:pPr>
        <w:spacing w:line="288" w:lineRule="auto"/>
        <w:jc w:val="right"/>
        <w:rPr>
          <w:rFonts w:ascii="Source Sans Pro" w:eastAsia="Source Sans Pro" w:hAnsi="Source Sans Pro" w:cs="Source Sans Pro"/>
          <w:b/>
          <w:sz w:val="20"/>
        </w:rPr>
      </w:pPr>
    </w:p>
    <w:p w14:paraId="56A81874" w14:textId="67990B14" w:rsidR="00A77B3E" w:rsidRDefault="00BE0101">
      <w:pPr>
        <w:spacing w:line="288" w:lineRule="auto"/>
        <w:rPr>
          <w:rFonts w:ascii="Source Sans Pro" w:eastAsia="Source Sans Pro" w:hAnsi="Source Sans Pro" w:cs="Source Sans Pro"/>
          <w:b/>
        </w:rPr>
      </w:pPr>
      <w:r>
        <w:rPr>
          <w:rFonts w:ascii="Source Sans Pro" w:eastAsia="Source Sans Pro" w:hAnsi="Source Sans Pro" w:cs="Source Sans Pro"/>
          <w:b/>
        </w:rPr>
        <w:t xml:space="preserve">TORONTO, </w:t>
      </w:r>
      <w:r w:rsidR="00CC57F8">
        <w:rPr>
          <w:rFonts w:ascii="Source Sans Pro" w:eastAsia="Source Sans Pro" w:hAnsi="Source Sans Pro" w:cs="Source Sans Pro"/>
          <w:b/>
        </w:rPr>
        <w:t xml:space="preserve">April </w:t>
      </w:r>
      <w:r w:rsidR="000E598A">
        <w:rPr>
          <w:rFonts w:ascii="Source Sans Pro" w:eastAsia="Source Sans Pro" w:hAnsi="Source Sans Pro" w:cs="Source Sans Pro"/>
          <w:b/>
        </w:rPr>
        <w:t>7</w:t>
      </w:r>
      <w:r w:rsidR="00CF43D7">
        <w:rPr>
          <w:rFonts w:ascii="Source Sans Pro" w:eastAsia="Source Sans Pro" w:hAnsi="Source Sans Pro" w:cs="Source Sans Pro"/>
          <w:b/>
          <w:color w:val="000000"/>
        </w:rPr>
        <w:t>,</w:t>
      </w:r>
      <w:r>
        <w:rPr>
          <w:rFonts w:ascii="Source Sans Pro" w:eastAsia="Source Sans Pro" w:hAnsi="Source Sans Pro" w:cs="Source Sans Pro"/>
          <w:b/>
          <w:color w:val="000000"/>
        </w:rPr>
        <w:t xml:space="preserve"> 202</w:t>
      </w:r>
      <w:r w:rsidR="00E04CC4">
        <w:rPr>
          <w:rFonts w:ascii="Source Sans Pro" w:eastAsia="Source Sans Pro" w:hAnsi="Source Sans Pro" w:cs="Source Sans Pro"/>
          <w:b/>
          <w:color w:val="000000"/>
        </w:rPr>
        <w:t>6</w:t>
      </w:r>
    </w:p>
    <w:p w14:paraId="09BF0AFC" w14:textId="77777777" w:rsidR="00A77B3E" w:rsidRDefault="00A77B3E">
      <w:pPr>
        <w:spacing w:line="288" w:lineRule="auto"/>
        <w:rPr>
          <w:rFonts w:ascii="Source Sans Pro" w:eastAsia="Source Sans Pro" w:hAnsi="Source Sans Pro" w:cs="Source Sans Pro"/>
          <w:sz w:val="20"/>
        </w:rPr>
      </w:pPr>
    </w:p>
    <w:p w14:paraId="01152E28" w14:textId="77777777" w:rsidR="00A77B3E" w:rsidRDefault="00BE0101">
      <w:pPr>
        <w:spacing w:line="288" w:lineRule="auto"/>
        <w:jc w:val="center"/>
        <w:rPr>
          <w:rFonts w:ascii="Source Sans Pro" w:eastAsia="Source Sans Pro" w:hAnsi="Source Sans Pro" w:cs="Source Sans Pro"/>
          <w:i/>
          <w:sz w:val="20"/>
        </w:rPr>
      </w:pPr>
      <w:r>
        <w:rPr>
          <w:rFonts w:ascii="Source Sans Pro" w:eastAsia="Source Sans Pro" w:hAnsi="Source Sans Pro" w:cs="Source Sans Pro"/>
          <w:i/>
          <w:sz w:val="20"/>
        </w:rPr>
        <w:t>NOT FOR DISTRIBUTION TO U.S. NEWSWIRE SERVICES OR FOR DISSEMINATION IN THE UNITED STATES</w:t>
      </w:r>
    </w:p>
    <w:p w14:paraId="24986862" w14:textId="77777777" w:rsidR="00A77B3E" w:rsidRDefault="00A77B3E">
      <w:pPr>
        <w:spacing w:line="288" w:lineRule="auto"/>
        <w:jc w:val="center"/>
        <w:rPr>
          <w:rFonts w:ascii="Source Sans Pro" w:eastAsia="Source Sans Pro" w:hAnsi="Source Sans Pro" w:cs="Source Sans Pro"/>
          <w:b/>
          <w:sz w:val="20"/>
        </w:rPr>
      </w:pPr>
    </w:p>
    <w:p w14:paraId="2986396D" w14:textId="50E2414A" w:rsidR="005E5DEB" w:rsidRDefault="00975466" w:rsidP="00975466">
      <w:pPr>
        <w:spacing w:line="288" w:lineRule="auto"/>
        <w:jc w:val="center"/>
        <w:rPr>
          <w:rFonts w:ascii="Source Sans Pro" w:eastAsia="Source Sans Pro" w:hAnsi="Source Sans Pro" w:cs="Source Sans Pro"/>
          <w:b/>
        </w:rPr>
      </w:pPr>
      <w:r w:rsidRPr="00975466">
        <w:rPr>
          <w:rFonts w:ascii="Source Sans Pro" w:eastAsia="Source Sans Pro" w:hAnsi="Source Sans Pro" w:cs="Source Sans Pro"/>
          <w:b/>
        </w:rPr>
        <w:t xml:space="preserve">Helios Fairfax Partners to Host Investor Presentation on Wednesday, April </w:t>
      </w:r>
      <w:r w:rsidR="00E04CC4">
        <w:rPr>
          <w:rFonts w:ascii="Source Sans Pro" w:eastAsia="Source Sans Pro" w:hAnsi="Source Sans Pro" w:cs="Source Sans Pro"/>
          <w:b/>
        </w:rPr>
        <w:t>15</w:t>
      </w:r>
      <w:r w:rsidRPr="00975466">
        <w:rPr>
          <w:rFonts w:ascii="Source Sans Pro" w:eastAsia="Source Sans Pro" w:hAnsi="Source Sans Pro" w:cs="Source Sans Pro"/>
          <w:b/>
        </w:rPr>
        <w:t>, 202</w:t>
      </w:r>
      <w:r w:rsidR="00E04CC4">
        <w:rPr>
          <w:rFonts w:ascii="Source Sans Pro" w:eastAsia="Source Sans Pro" w:hAnsi="Source Sans Pro" w:cs="Source Sans Pro"/>
          <w:b/>
        </w:rPr>
        <w:t>6</w:t>
      </w:r>
      <w:r w:rsidRPr="00975466">
        <w:rPr>
          <w:rFonts w:ascii="Source Sans Pro" w:eastAsia="Source Sans Pro" w:hAnsi="Source Sans Pro" w:cs="Source Sans Pro"/>
          <w:b/>
        </w:rPr>
        <w:t>, at 2:30 pm ET</w:t>
      </w:r>
      <w:r w:rsidR="00930786">
        <w:rPr>
          <w:rFonts w:ascii="Source Sans Pro" w:eastAsia="Source Sans Pro" w:hAnsi="Source Sans Pro" w:cs="Source Sans Pro"/>
          <w:b/>
        </w:rPr>
        <w:t xml:space="preserve"> </w:t>
      </w:r>
    </w:p>
    <w:p w14:paraId="6125CD66" w14:textId="722420A8" w:rsidR="00A77B3E" w:rsidRDefault="00975466" w:rsidP="00975466">
      <w:pPr>
        <w:spacing w:line="288" w:lineRule="auto"/>
        <w:jc w:val="center"/>
        <w:rPr>
          <w:rFonts w:ascii="Source Sans Pro" w:eastAsia="Source Sans Pro" w:hAnsi="Source Sans Pro" w:cs="Source Sans Pro"/>
          <w:b/>
          <w:i/>
          <w:sz w:val="22"/>
        </w:rPr>
      </w:pPr>
      <w:r w:rsidRPr="00975466">
        <w:rPr>
          <w:rFonts w:ascii="Source Sans Pro" w:eastAsia="Source Sans Pro" w:hAnsi="Source Sans Pro" w:cs="Source Sans Pro"/>
          <w:b/>
        </w:rPr>
        <w:t xml:space="preserve">and Annual </w:t>
      </w:r>
      <w:r w:rsidR="00057DA4">
        <w:rPr>
          <w:rFonts w:ascii="Source Sans Pro" w:eastAsia="Source Sans Pro" w:hAnsi="Source Sans Pro" w:cs="Source Sans Pro"/>
          <w:b/>
        </w:rPr>
        <w:t>and Special</w:t>
      </w:r>
      <w:r w:rsidRPr="00975466">
        <w:rPr>
          <w:rFonts w:ascii="Source Sans Pro" w:eastAsia="Source Sans Pro" w:hAnsi="Source Sans Pro" w:cs="Source Sans Pro"/>
          <w:b/>
        </w:rPr>
        <w:t xml:space="preserve"> Meeting of Shareholders on </w:t>
      </w:r>
      <w:r w:rsidR="00D30046">
        <w:rPr>
          <w:rFonts w:ascii="Source Sans Pro" w:eastAsia="Source Sans Pro" w:hAnsi="Source Sans Pro" w:cs="Source Sans Pro"/>
          <w:b/>
        </w:rPr>
        <w:t>Thursday</w:t>
      </w:r>
      <w:r w:rsidRPr="00975466">
        <w:rPr>
          <w:rFonts w:ascii="Source Sans Pro" w:eastAsia="Source Sans Pro" w:hAnsi="Source Sans Pro" w:cs="Source Sans Pro"/>
          <w:b/>
        </w:rPr>
        <w:t xml:space="preserve">, May </w:t>
      </w:r>
      <w:r w:rsidR="00D30046">
        <w:rPr>
          <w:rFonts w:ascii="Source Sans Pro" w:eastAsia="Source Sans Pro" w:hAnsi="Source Sans Pro" w:cs="Source Sans Pro"/>
          <w:b/>
        </w:rPr>
        <w:t>7</w:t>
      </w:r>
      <w:r w:rsidRPr="00975466">
        <w:rPr>
          <w:rFonts w:ascii="Source Sans Pro" w:eastAsia="Source Sans Pro" w:hAnsi="Source Sans Pro" w:cs="Source Sans Pro"/>
          <w:b/>
        </w:rPr>
        <w:t>, 202</w:t>
      </w:r>
      <w:r w:rsidR="00D30046">
        <w:rPr>
          <w:rFonts w:ascii="Source Sans Pro" w:eastAsia="Source Sans Pro" w:hAnsi="Source Sans Pro" w:cs="Source Sans Pro"/>
          <w:b/>
        </w:rPr>
        <w:t>6</w:t>
      </w:r>
      <w:r w:rsidRPr="00975466">
        <w:rPr>
          <w:rFonts w:ascii="Source Sans Pro" w:eastAsia="Source Sans Pro" w:hAnsi="Source Sans Pro" w:cs="Source Sans Pro"/>
          <w:b/>
        </w:rPr>
        <w:t xml:space="preserve">, </w:t>
      </w:r>
      <w:r w:rsidRPr="00057DA4">
        <w:rPr>
          <w:rFonts w:ascii="Source Sans Pro" w:eastAsia="Source Sans Pro" w:hAnsi="Source Sans Pro" w:cs="Source Sans Pro"/>
          <w:b/>
        </w:rPr>
        <w:t>at 11:00 am ET</w:t>
      </w:r>
    </w:p>
    <w:p w14:paraId="6475A8E9" w14:textId="77777777" w:rsidR="00975466" w:rsidRDefault="00975466">
      <w:pPr>
        <w:spacing w:line="288" w:lineRule="auto"/>
        <w:jc w:val="both"/>
        <w:rPr>
          <w:rFonts w:ascii="Source Sans Pro" w:eastAsia="Source Sans Pro" w:hAnsi="Source Sans Pro" w:cs="Source Sans Pro"/>
          <w:sz w:val="22"/>
        </w:rPr>
      </w:pPr>
    </w:p>
    <w:p w14:paraId="33EEA898" w14:textId="3BE204F6" w:rsidR="009E7D7E" w:rsidRDefault="009E7D7E" w:rsidP="009E7D7E">
      <w:pPr>
        <w:spacing w:line="288" w:lineRule="auto"/>
        <w:jc w:val="both"/>
        <w:rPr>
          <w:rFonts w:ascii="Source Sans Pro" w:eastAsia="Source Sans Pro" w:hAnsi="Source Sans Pro" w:cs="Source Sans Pro"/>
          <w:sz w:val="22"/>
        </w:rPr>
      </w:pPr>
      <w:r>
        <w:rPr>
          <w:rFonts w:ascii="Source Sans Pro" w:eastAsia="Source Sans Pro" w:hAnsi="Source Sans Pro" w:cs="Source Sans Pro"/>
          <w:sz w:val="22"/>
        </w:rPr>
        <w:t xml:space="preserve">Helios Fairfax Partners Corporation (TSX: HFPC.U) (“HFP”) today announced it will host an Investor Presentation on Wednesday, April </w:t>
      </w:r>
      <w:r w:rsidR="00A700F8">
        <w:rPr>
          <w:rFonts w:ascii="Source Sans Pro" w:eastAsia="Source Sans Pro" w:hAnsi="Source Sans Pro" w:cs="Source Sans Pro"/>
          <w:sz w:val="22"/>
        </w:rPr>
        <w:t>15</w:t>
      </w:r>
      <w:r>
        <w:rPr>
          <w:rFonts w:ascii="Source Sans Pro" w:eastAsia="Source Sans Pro" w:hAnsi="Source Sans Pro" w:cs="Source Sans Pro"/>
          <w:sz w:val="22"/>
        </w:rPr>
        <w:t>, 202</w:t>
      </w:r>
      <w:r w:rsidR="00A700F8">
        <w:rPr>
          <w:rFonts w:ascii="Source Sans Pro" w:eastAsia="Source Sans Pro" w:hAnsi="Source Sans Pro" w:cs="Source Sans Pro"/>
          <w:sz w:val="22"/>
        </w:rPr>
        <w:t>6</w:t>
      </w:r>
      <w:r>
        <w:rPr>
          <w:rFonts w:ascii="Source Sans Pro" w:eastAsia="Source Sans Pro" w:hAnsi="Source Sans Pro" w:cs="Source Sans Pro"/>
          <w:sz w:val="22"/>
        </w:rPr>
        <w:t xml:space="preserve">, at 2:30 pm ET in-person at the Ritz-Carlton Hotel, 181 Wellington Street West, Toronto, Ontario, and virtually via live webcast. To register in advance and join the </w:t>
      </w:r>
      <w:r w:rsidRPr="00F12A38">
        <w:rPr>
          <w:rFonts w:ascii="Source Sans Pro" w:hAnsi="Source Sans Pro"/>
          <w:color w:val="000000"/>
          <w:sz w:val="22"/>
          <w:szCs w:val="22"/>
        </w:rPr>
        <w:t xml:space="preserve">Investor </w:t>
      </w:r>
      <w:r>
        <w:rPr>
          <w:rFonts w:ascii="Source Sans Pro" w:hAnsi="Source Sans Pro"/>
          <w:color w:val="000000"/>
          <w:sz w:val="22"/>
          <w:szCs w:val="22"/>
        </w:rPr>
        <w:t>Presentation</w:t>
      </w:r>
      <w:r w:rsidRPr="00F12A38">
        <w:rPr>
          <w:rFonts w:ascii="Source Sans Pro" w:hAnsi="Source Sans Pro"/>
          <w:color w:val="000000"/>
          <w:sz w:val="22"/>
          <w:szCs w:val="22"/>
        </w:rPr>
        <w:t xml:space="preserve"> webcast visit:</w:t>
      </w:r>
      <w:r w:rsidR="00016792">
        <w:rPr>
          <w:rFonts w:ascii="Source Sans Pro" w:hAnsi="Source Sans Pro"/>
          <w:color w:val="000000"/>
          <w:sz w:val="22"/>
          <w:szCs w:val="22"/>
        </w:rPr>
        <w:t xml:space="preserve"> </w:t>
      </w:r>
      <w:hyperlink r:id="rId7" w:history="1">
        <w:r w:rsidR="00016792" w:rsidRPr="00566E82">
          <w:rPr>
            <w:rStyle w:val="Hyperlink"/>
            <w:rFonts w:ascii="Source Sans Pro" w:hAnsi="Source Sans Pro"/>
            <w:sz w:val="22"/>
            <w:szCs w:val="22"/>
          </w:rPr>
          <w:t>https://hfpinvestorpresentation2026.can.chime.live/app</w:t>
        </w:r>
      </w:hyperlink>
      <w:r w:rsidR="00016792">
        <w:rPr>
          <w:rFonts w:ascii="Source Sans Pro" w:hAnsi="Source Sans Pro"/>
          <w:color w:val="000000"/>
          <w:sz w:val="22"/>
          <w:szCs w:val="22"/>
        </w:rPr>
        <w:t xml:space="preserve">. </w:t>
      </w:r>
      <w:r>
        <w:rPr>
          <w:rFonts w:ascii="Source Sans Pro" w:hAnsi="Source Sans Pro"/>
          <w:color w:val="000000"/>
          <w:sz w:val="22"/>
          <w:szCs w:val="22"/>
        </w:rPr>
        <w:t>On the day of the meeting p</w:t>
      </w:r>
      <w:r w:rsidRPr="00F12A38">
        <w:rPr>
          <w:rFonts w:ascii="Source Sans Pro" w:hAnsi="Source Sans Pro"/>
          <w:color w:val="000000"/>
          <w:sz w:val="22"/>
          <w:szCs w:val="22"/>
        </w:rPr>
        <w:t>lease connect approximately 15 minutes</w:t>
      </w:r>
      <w:r w:rsidRPr="00385D66">
        <w:rPr>
          <w:rFonts w:ascii="Source Sans Pro" w:eastAsia="Source Sans Pro" w:hAnsi="Source Sans Pro" w:cs="Source Sans Pro"/>
          <w:sz w:val="22"/>
        </w:rPr>
        <w:t xml:space="preserve"> prior to the beginning of the </w:t>
      </w:r>
      <w:r>
        <w:rPr>
          <w:rFonts w:ascii="Source Sans Pro" w:eastAsia="Source Sans Pro" w:hAnsi="Source Sans Pro" w:cs="Source Sans Pro"/>
          <w:sz w:val="22"/>
        </w:rPr>
        <w:t>webcast</w:t>
      </w:r>
      <w:r w:rsidRPr="00385D66">
        <w:rPr>
          <w:rFonts w:ascii="Source Sans Pro" w:eastAsia="Source Sans Pro" w:hAnsi="Source Sans Pro" w:cs="Source Sans Pro"/>
          <w:sz w:val="22"/>
        </w:rPr>
        <w:t xml:space="preserve"> to ensure participation.</w:t>
      </w:r>
      <w:r>
        <w:rPr>
          <w:rFonts w:ascii="Source Sans Pro" w:eastAsia="Source Sans Pro" w:hAnsi="Source Sans Pro" w:cs="Source Sans Pro"/>
          <w:sz w:val="22"/>
        </w:rPr>
        <w:t xml:space="preserve"> </w:t>
      </w:r>
    </w:p>
    <w:p w14:paraId="65C6A42F" w14:textId="77777777" w:rsidR="009E7D7E" w:rsidRDefault="009E7D7E" w:rsidP="009E7D7E">
      <w:pPr>
        <w:spacing w:line="288" w:lineRule="auto"/>
        <w:jc w:val="both"/>
        <w:rPr>
          <w:rFonts w:ascii="Source Sans Pro" w:eastAsia="Source Sans Pro" w:hAnsi="Source Sans Pro" w:cs="Source Sans Pro"/>
          <w:sz w:val="22"/>
        </w:rPr>
      </w:pPr>
    </w:p>
    <w:p w14:paraId="10959E88" w14:textId="325B609D" w:rsidR="009E7D7E" w:rsidRDefault="009E7D7E" w:rsidP="003325D3">
      <w:pPr>
        <w:spacing w:line="288" w:lineRule="auto"/>
        <w:jc w:val="both"/>
        <w:rPr>
          <w:rFonts w:ascii="Source Sans Pro" w:eastAsia="Source Sans Pro" w:hAnsi="Source Sans Pro" w:cs="Source Sans Pro"/>
          <w:sz w:val="22"/>
        </w:rPr>
      </w:pPr>
      <w:r>
        <w:rPr>
          <w:rFonts w:ascii="Source Sans Pro" w:eastAsia="Source Sans Pro" w:hAnsi="Source Sans Pro" w:cs="Source Sans Pro"/>
          <w:sz w:val="22"/>
        </w:rPr>
        <w:t xml:space="preserve">HFP will also host its Annual </w:t>
      </w:r>
      <w:r w:rsidR="001769B9">
        <w:rPr>
          <w:rFonts w:ascii="Source Sans Pro" w:eastAsia="Source Sans Pro" w:hAnsi="Source Sans Pro" w:cs="Source Sans Pro"/>
          <w:sz w:val="22"/>
        </w:rPr>
        <w:t>and Special</w:t>
      </w:r>
      <w:r>
        <w:rPr>
          <w:rFonts w:ascii="Source Sans Pro" w:eastAsia="Source Sans Pro" w:hAnsi="Source Sans Pro" w:cs="Source Sans Pro"/>
          <w:sz w:val="22"/>
        </w:rPr>
        <w:t xml:space="preserve"> Meeting of Shareholders on </w:t>
      </w:r>
      <w:r w:rsidR="00AB2A95">
        <w:rPr>
          <w:rFonts w:ascii="Source Sans Pro" w:eastAsia="Source Sans Pro" w:hAnsi="Source Sans Pro" w:cs="Source Sans Pro"/>
          <w:sz w:val="22"/>
        </w:rPr>
        <w:t>Thursday</w:t>
      </w:r>
      <w:r>
        <w:rPr>
          <w:rFonts w:ascii="Source Sans Pro" w:eastAsia="Source Sans Pro" w:hAnsi="Source Sans Pro" w:cs="Source Sans Pro"/>
          <w:sz w:val="22"/>
        </w:rPr>
        <w:t xml:space="preserve">, May </w:t>
      </w:r>
      <w:r w:rsidR="00AB2A95">
        <w:rPr>
          <w:rFonts w:ascii="Source Sans Pro" w:eastAsia="Source Sans Pro" w:hAnsi="Source Sans Pro" w:cs="Source Sans Pro"/>
          <w:sz w:val="22"/>
        </w:rPr>
        <w:t>7</w:t>
      </w:r>
      <w:r>
        <w:rPr>
          <w:rFonts w:ascii="Source Sans Pro" w:eastAsia="Source Sans Pro" w:hAnsi="Source Sans Pro" w:cs="Source Sans Pro"/>
          <w:sz w:val="22"/>
        </w:rPr>
        <w:t>, 202</w:t>
      </w:r>
      <w:r w:rsidR="002231B0">
        <w:rPr>
          <w:rFonts w:ascii="Source Sans Pro" w:eastAsia="Source Sans Pro" w:hAnsi="Source Sans Pro" w:cs="Source Sans Pro"/>
          <w:sz w:val="22"/>
        </w:rPr>
        <w:t>6</w:t>
      </w:r>
      <w:r>
        <w:rPr>
          <w:rFonts w:ascii="Source Sans Pro" w:eastAsia="Source Sans Pro" w:hAnsi="Source Sans Pro" w:cs="Source Sans Pro"/>
          <w:sz w:val="22"/>
        </w:rPr>
        <w:t xml:space="preserve">, </w:t>
      </w:r>
      <w:r w:rsidRPr="001769B9">
        <w:rPr>
          <w:rFonts w:ascii="Source Sans Pro" w:eastAsia="Source Sans Pro" w:hAnsi="Source Sans Pro" w:cs="Source Sans Pro"/>
          <w:sz w:val="22"/>
        </w:rPr>
        <w:t>at 11:00 am</w:t>
      </w:r>
      <w:r>
        <w:rPr>
          <w:rFonts w:ascii="Source Sans Pro" w:eastAsia="Source Sans Pro" w:hAnsi="Source Sans Pro" w:cs="Source Sans Pro"/>
          <w:sz w:val="22"/>
        </w:rPr>
        <w:t xml:space="preserve"> ET as a virtual meeting. To join the Annual and Special Meeting of Shareholders </w:t>
      </w:r>
      <w:r w:rsidR="008D1763">
        <w:rPr>
          <w:rFonts w:ascii="Source Sans Pro" w:eastAsia="Source Sans Pro" w:hAnsi="Source Sans Pro" w:cs="Source Sans Pro"/>
          <w:sz w:val="22"/>
        </w:rPr>
        <w:t xml:space="preserve">audio </w:t>
      </w:r>
      <w:r>
        <w:rPr>
          <w:rFonts w:ascii="Source Sans Pro" w:eastAsia="Source Sans Pro" w:hAnsi="Source Sans Pro" w:cs="Source Sans Pro"/>
          <w:sz w:val="22"/>
        </w:rPr>
        <w:t>webcast visit:</w:t>
      </w:r>
      <w:r w:rsidR="003325D3">
        <w:rPr>
          <w:rFonts w:ascii="Source Sans Pro" w:eastAsia="Source Sans Pro" w:hAnsi="Source Sans Pro" w:cs="Source Sans Pro"/>
          <w:sz w:val="22"/>
        </w:rPr>
        <w:t xml:space="preserve"> </w:t>
      </w:r>
      <w:hyperlink r:id="rId8" w:history="1">
        <w:r w:rsidR="008D1763" w:rsidRPr="008D1763">
          <w:rPr>
            <w:rStyle w:val="Hyperlink"/>
            <w:rFonts w:ascii="Source Sans Pro" w:hAnsi="Source Sans Pro"/>
            <w:sz w:val="22"/>
            <w:szCs w:val="22"/>
          </w:rPr>
          <w:t>https://meetnow.global/MDXHV4L</w:t>
        </w:r>
      </w:hyperlink>
      <w:r w:rsidR="008D1763">
        <w:rPr>
          <w:rFonts w:ascii="Source Sans Pro" w:hAnsi="Source Sans Pro"/>
          <w:sz w:val="22"/>
          <w:szCs w:val="22"/>
        </w:rPr>
        <w:t xml:space="preserve">. </w:t>
      </w:r>
      <w:r w:rsidRPr="008C4CBD">
        <w:rPr>
          <w:rFonts w:ascii="Source Sans Pro" w:eastAsia="Source Sans Pro" w:hAnsi="Source Sans Pro" w:cs="Source Sans Pro"/>
          <w:sz w:val="22"/>
          <w:szCs w:val="22"/>
        </w:rPr>
        <w:t>On</w:t>
      </w:r>
      <w:r>
        <w:rPr>
          <w:rFonts w:ascii="Source Sans Pro" w:eastAsia="Source Sans Pro" w:hAnsi="Source Sans Pro" w:cs="Source Sans Pro"/>
          <w:sz w:val="22"/>
        </w:rPr>
        <w:t xml:space="preserve"> the day of the meeting please connect approximately 15 minutes </w:t>
      </w:r>
      <w:r w:rsidRPr="00385D66">
        <w:rPr>
          <w:rFonts w:ascii="Source Sans Pro" w:eastAsia="Source Sans Pro" w:hAnsi="Source Sans Pro" w:cs="Source Sans Pro"/>
          <w:sz w:val="22"/>
        </w:rPr>
        <w:t xml:space="preserve">prior to the beginning of the </w:t>
      </w:r>
      <w:r>
        <w:rPr>
          <w:rFonts w:ascii="Source Sans Pro" w:eastAsia="Source Sans Pro" w:hAnsi="Source Sans Pro" w:cs="Source Sans Pro"/>
          <w:sz w:val="22"/>
        </w:rPr>
        <w:t>webcast</w:t>
      </w:r>
      <w:r w:rsidRPr="00385D66">
        <w:rPr>
          <w:rFonts w:ascii="Source Sans Pro" w:eastAsia="Source Sans Pro" w:hAnsi="Source Sans Pro" w:cs="Source Sans Pro"/>
          <w:sz w:val="22"/>
        </w:rPr>
        <w:t xml:space="preserve"> to ensure participation.</w:t>
      </w:r>
      <w:r>
        <w:rPr>
          <w:rFonts w:ascii="Source Sans Pro" w:eastAsia="Source Sans Pro" w:hAnsi="Source Sans Pro" w:cs="Source Sans Pro"/>
          <w:sz w:val="22"/>
        </w:rPr>
        <w:t xml:space="preserve"> </w:t>
      </w:r>
    </w:p>
    <w:p w14:paraId="56EF79C2" w14:textId="77777777" w:rsidR="009E7D7E" w:rsidRDefault="009E7D7E" w:rsidP="009E7D7E">
      <w:pPr>
        <w:spacing w:line="288" w:lineRule="auto"/>
        <w:jc w:val="both"/>
        <w:rPr>
          <w:rFonts w:ascii="Source Sans Pro" w:eastAsia="Source Sans Pro" w:hAnsi="Source Sans Pro" w:cs="Source Sans Pro"/>
          <w:sz w:val="22"/>
        </w:rPr>
      </w:pPr>
    </w:p>
    <w:p w14:paraId="3C1EE3B7" w14:textId="10DE3D09" w:rsidR="009E7D7E" w:rsidRDefault="009E7D7E" w:rsidP="009E7D7E">
      <w:pPr>
        <w:spacing w:line="288" w:lineRule="auto"/>
        <w:jc w:val="both"/>
        <w:rPr>
          <w:rFonts w:ascii="Source Sans Pro" w:eastAsia="Source Sans Pro" w:hAnsi="Source Sans Pro"/>
          <w:sz w:val="22"/>
          <w:szCs w:val="22"/>
        </w:rPr>
      </w:pPr>
      <w:r>
        <w:rPr>
          <w:rFonts w:ascii="Source Sans Pro" w:eastAsia="Source Sans Pro" w:hAnsi="Source Sans Pro" w:cs="Source Sans Pro"/>
          <w:sz w:val="22"/>
        </w:rPr>
        <w:t xml:space="preserve">Details </w:t>
      </w:r>
      <w:r w:rsidRPr="008C4CBD">
        <w:rPr>
          <w:rFonts w:ascii="Source Sans Pro" w:eastAsia="Source Sans Pro" w:hAnsi="Source Sans Pro" w:cs="Source Sans Pro"/>
          <w:sz w:val="22"/>
          <w:szCs w:val="22"/>
        </w:rPr>
        <w:t xml:space="preserve">are also available at: </w:t>
      </w:r>
      <w:hyperlink r:id="rId9" w:history="1">
        <w:r w:rsidR="00CE6CB1" w:rsidRPr="00B56463">
          <w:rPr>
            <w:rStyle w:val="Hyperlink"/>
            <w:rFonts w:ascii="Source Sans Pro" w:eastAsia="Source Sans Pro" w:hAnsi="Source Sans Pro"/>
            <w:sz w:val="22"/>
            <w:szCs w:val="22"/>
          </w:rPr>
          <w:t>www.heliosfairfax.com</w:t>
        </w:r>
      </w:hyperlink>
      <w:r w:rsidR="00880F35">
        <w:t>.</w:t>
      </w:r>
    </w:p>
    <w:p w14:paraId="3D13B885" w14:textId="77777777" w:rsidR="00975466" w:rsidRDefault="00975466">
      <w:pPr>
        <w:spacing w:line="288" w:lineRule="auto"/>
        <w:jc w:val="both"/>
        <w:rPr>
          <w:rFonts w:ascii="Source Sans Pro" w:eastAsia="Source Sans Pro" w:hAnsi="Source Sans Pro" w:cs="Source Sans Pro"/>
          <w:sz w:val="22"/>
        </w:rPr>
      </w:pPr>
    </w:p>
    <w:p w14:paraId="4794C5AB" w14:textId="77777777" w:rsidR="009016C9" w:rsidRDefault="00BE0101">
      <w:pPr>
        <w:spacing w:line="288" w:lineRule="auto"/>
        <w:jc w:val="both"/>
        <w:outlineLvl w:val="0"/>
        <w:rPr>
          <w:rFonts w:ascii="Source Sans Pro" w:eastAsia="Source Sans Pro" w:hAnsi="Source Sans Pro" w:cs="Source Sans Pro"/>
          <w:b/>
          <w:i/>
          <w:strike/>
          <w:color w:val="0000FF"/>
          <w:sz w:val="22"/>
          <w:u w:val="single"/>
        </w:rPr>
      </w:pPr>
      <w:bookmarkStart w:id="1" w:name="Section5"/>
      <w:bookmarkEnd w:id="1"/>
      <w:r>
        <w:rPr>
          <w:rFonts w:ascii="Source Sans Pro" w:eastAsia="Source Sans Pro" w:hAnsi="Source Sans Pro" w:cs="Source Sans Pro"/>
          <w:b/>
          <w:sz w:val="22"/>
        </w:rPr>
        <w:t>About Helios Fairfax Partners Corporation</w:t>
      </w:r>
    </w:p>
    <w:p w14:paraId="31700B43" w14:textId="77777777" w:rsidR="009016C9" w:rsidRDefault="009016C9">
      <w:pPr>
        <w:spacing w:line="288" w:lineRule="auto"/>
        <w:jc w:val="both"/>
        <w:rPr>
          <w:rFonts w:ascii="Source Sans Pro" w:eastAsia="Source Sans Pro" w:hAnsi="Source Sans Pro" w:cs="Source Sans Pro"/>
          <w:sz w:val="22"/>
        </w:rPr>
      </w:pPr>
    </w:p>
    <w:p w14:paraId="13886D97" w14:textId="73BF477D" w:rsidR="009016C9" w:rsidRDefault="00C53E12">
      <w:pPr>
        <w:spacing w:line="288" w:lineRule="auto"/>
        <w:jc w:val="both"/>
        <w:rPr>
          <w:rFonts w:ascii="Source Sans Pro" w:eastAsia="Source Sans Pro" w:hAnsi="Source Sans Pro" w:cs="Source Sans Pro"/>
          <w:sz w:val="22"/>
        </w:rPr>
      </w:pPr>
      <w:r w:rsidRPr="00C53E12">
        <w:rPr>
          <w:rFonts w:ascii="Source Sans Pro" w:eastAsia="Source Sans Pro" w:hAnsi="Source Sans Pro" w:cs="Source Sans Pro"/>
          <w:sz w:val="22"/>
        </w:rPr>
        <w:t>Helios Fairfax Partners Corporation is an investment holding company that is listed on the Toronto Stock Exchange under the symbol HFPC.U. The company invests in African businesses and other businesses with customers, suppliers or operations primarily conducted in, or dependent on, Africa. It is advised by Helios Investment Partners LLP which is authori</w:t>
      </w:r>
      <w:r w:rsidR="008032BB">
        <w:rPr>
          <w:rFonts w:ascii="Source Sans Pro" w:eastAsia="Source Sans Pro" w:hAnsi="Source Sans Pro" w:cs="Source Sans Pro"/>
          <w:sz w:val="22"/>
        </w:rPr>
        <w:t>z</w:t>
      </w:r>
      <w:r w:rsidRPr="00C53E12">
        <w:rPr>
          <w:rFonts w:ascii="Source Sans Pro" w:eastAsia="Source Sans Pro" w:hAnsi="Source Sans Pro" w:cs="Source Sans Pro"/>
          <w:sz w:val="22"/>
        </w:rPr>
        <w:t>ed and regulated by the F</w:t>
      </w:r>
      <w:r w:rsidR="008032BB">
        <w:rPr>
          <w:rFonts w:ascii="Source Sans Pro" w:eastAsia="Source Sans Pro" w:hAnsi="Source Sans Pro" w:cs="Source Sans Pro"/>
          <w:sz w:val="22"/>
        </w:rPr>
        <w:t>inancial Conduct Authority</w:t>
      </w:r>
      <w:r w:rsidRPr="00C53E12">
        <w:rPr>
          <w:rFonts w:ascii="Source Sans Pro" w:eastAsia="Source Sans Pro" w:hAnsi="Source Sans Pro" w:cs="Source Sans Pro"/>
          <w:sz w:val="22"/>
        </w:rPr>
        <w:t xml:space="preserve"> in the United Kingdom. As </w:t>
      </w:r>
      <w:proofErr w:type="gramStart"/>
      <w:r w:rsidRPr="00C53E12">
        <w:rPr>
          <w:rFonts w:ascii="Source Sans Pro" w:eastAsia="Source Sans Pro" w:hAnsi="Source Sans Pro" w:cs="Source Sans Pro"/>
          <w:sz w:val="22"/>
        </w:rPr>
        <w:t>at</w:t>
      </w:r>
      <w:proofErr w:type="gramEnd"/>
      <w:r w:rsidRPr="00C53E12">
        <w:rPr>
          <w:rFonts w:ascii="Source Sans Pro" w:eastAsia="Source Sans Pro" w:hAnsi="Source Sans Pro" w:cs="Source Sans Pro"/>
          <w:sz w:val="22"/>
        </w:rPr>
        <w:t xml:space="preserve"> December 31, 2025, Helios Fairfax Partners had portfolio investments </w:t>
      </w:r>
      <w:r w:rsidR="00D73276" w:rsidRPr="00C53E12">
        <w:rPr>
          <w:rFonts w:ascii="Source Sans Pro" w:eastAsia="Source Sans Pro" w:hAnsi="Source Sans Pro" w:cs="Source Sans Pro"/>
          <w:sz w:val="22"/>
        </w:rPr>
        <w:t>totaling</w:t>
      </w:r>
      <w:r w:rsidRPr="00C53E12">
        <w:rPr>
          <w:rFonts w:ascii="Source Sans Pro" w:eastAsia="Source Sans Pro" w:hAnsi="Source Sans Pro" w:cs="Source Sans Pro"/>
          <w:sz w:val="22"/>
        </w:rPr>
        <w:t xml:space="preserve"> </w:t>
      </w:r>
      <w:r w:rsidRPr="00D73276">
        <w:rPr>
          <w:rFonts w:ascii="Source Sans Pro" w:eastAsia="Source Sans Pro" w:hAnsi="Source Sans Pro" w:cs="Source Sans Pro"/>
          <w:sz w:val="22"/>
        </w:rPr>
        <w:t>$46</w:t>
      </w:r>
      <w:r w:rsidR="00D73276" w:rsidRPr="00D73276">
        <w:rPr>
          <w:rFonts w:ascii="Source Sans Pro" w:eastAsia="Source Sans Pro" w:hAnsi="Source Sans Pro" w:cs="Source Sans Pro"/>
          <w:sz w:val="22"/>
        </w:rPr>
        <w:t>3.7</w:t>
      </w:r>
      <w:r w:rsidRPr="00D73276">
        <w:rPr>
          <w:rFonts w:ascii="Source Sans Pro" w:eastAsia="Source Sans Pro" w:hAnsi="Source Sans Pro" w:cs="Source Sans Pro"/>
          <w:sz w:val="22"/>
        </w:rPr>
        <w:t xml:space="preserve"> million.</w:t>
      </w:r>
    </w:p>
    <w:p w14:paraId="3439B224" w14:textId="77777777" w:rsidR="00C53E12" w:rsidRDefault="00C53E12">
      <w:pPr>
        <w:spacing w:line="288" w:lineRule="auto"/>
        <w:jc w:val="both"/>
        <w:rPr>
          <w:rFonts w:ascii="Source Sans Pro" w:eastAsia="Source Sans Pro" w:hAnsi="Source Sans Pro" w:cs="Source Sans Pro"/>
          <w:sz w:val="22"/>
        </w:rPr>
      </w:pPr>
    </w:p>
    <w:p w14:paraId="73E0E337" w14:textId="77777777" w:rsidR="009016C9" w:rsidRDefault="00BE0101">
      <w:pPr>
        <w:spacing w:line="288" w:lineRule="auto"/>
        <w:jc w:val="both"/>
        <w:rPr>
          <w:rFonts w:ascii="Source Sans Pro" w:eastAsia="Source Sans Pro" w:hAnsi="Source Sans Pro" w:cs="Source Sans Pro"/>
          <w:b/>
          <w:sz w:val="22"/>
        </w:rPr>
      </w:pPr>
      <w:r>
        <w:rPr>
          <w:rFonts w:ascii="Source Sans Pro" w:eastAsia="Source Sans Pro" w:hAnsi="Source Sans Pro" w:cs="Source Sans Pro"/>
          <w:b/>
          <w:sz w:val="22"/>
        </w:rPr>
        <w:t>Contact Information</w:t>
      </w:r>
    </w:p>
    <w:p w14:paraId="15799903" w14:textId="77777777" w:rsidR="009016C9" w:rsidRDefault="009016C9">
      <w:pPr>
        <w:spacing w:line="288" w:lineRule="auto"/>
        <w:jc w:val="both"/>
        <w:rPr>
          <w:rFonts w:ascii="Source Sans Pro" w:eastAsia="Source Sans Pro" w:hAnsi="Source Sans Pro" w:cs="Source Sans Pro"/>
          <w:sz w:val="22"/>
        </w:rPr>
      </w:pPr>
    </w:p>
    <w:p w14:paraId="74EFCE72" w14:textId="77777777" w:rsidR="009016C9" w:rsidRDefault="00BE0101">
      <w:pPr>
        <w:spacing w:line="288" w:lineRule="auto"/>
        <w:jc w:val="both"/>
        <w:rPr>
          <w:rFonts w:ascii="Source Sans Pro" w:eastAsia="Source Sans Pro" w:hAnsi="Source Sans Pro" w:cs="Source Sans Pro"/>
          <w:sz w:val="22"/>
        </w:rPr>
      </w:pPr>
      <w:r>
        <w:rPr>
          <w:rFonts w:ascii="Source Sans Pro" w:eastAsia="Source Sans Pro" w:hAnsi="Source Sans Pro" w:cs="Source Sans Pro"/>
          <w:sz w:val="22"/>
        </w:rPr>
        <w:t>Neil Weber</w:t>
      </w:r>
    </w:p>
    <w:p w14:paraId="2ECFDAC2" w14:textId="77777777" w:rsidR="009016C9" w:rsidRDefault="00BE0101">
      <w:pPr>
        <w:spacing w:line="288" w:lineRule="auto"/>
        <w:jc w:val="both"/>
        <w:rPr>
          <w:rFonts w:ascii="Source Sans Pro" w:eastAsia="Source Sans Pro" w:hAnsi="Source Sans Pro" w:cs="Source Sans Pro"/>
          <w:sz w:val="22"/>
        </w:rPr>
      </w:pPr>
      <w:r>
        <w:rPr>
          <w:rFonts w:ascii="Source Sans Pro" w:eastAsia="Source Sans Pro" w:hAnsi="Source Sans Pro" w:cs="Source Sans Pro"/>
          <w:sz w:val="22"/>
        </w:rPr>
        <w:t>LodeRock Advisors</w:t>
      </w:r>
    </w:p>
    <w:p w14:paraId="77081B51" w14:textId="77777777" w:rsidR="009016C9" w:rsidRDefault="00BE0101">
      <w:pPr>
        <w:spacing w:line="288" w:lineRule="auto"/>
        <w:jc w:val="both"/>
        <w:rPr>
          <w:rFonts w:ascii="Source Sans Pro" w:eastAsia="Source Sans Pro" w:hAnsi="Source Sans Pro" w:cs="Source Sans Pro"/>
          <w:sz w:val="22"/>
        </w:rPr>
      </w:pPr>
      <w:r>
        <w:rPr>
          <w:rFonts w:ascii="Source Sans Pro" w:eastAsia="Source Sans Pro" w:hAnsi="Source Sans Pro" w:cs="Source Sans Pro"/>
          <w:sz w:val="22"/>
        </w:rPr>
        <w:t>neil.weber@loderockadvisors.com</w:t>
      </w:r>
    </w:p>
    <w:p w14:paraId="7A12D4E1" w14:textId="5D0DB541" w:rsidR="009016C9" w:rsidRDefault="00BE0101" w:rsidP="00CC57F8">
      <w:pPr>
        <w:spacing w:line="288" w:lineRule="auto"/>
        <w:jc w:val="both"/>
        <w:rPr>
          <w:rFonts w:ascii="Source Sans Pro" w:eastAsia="Source Sans Pro" w:hAnsi="Source Sans Pro" w:cs="Source Sans Pro"/>
          <w:sz w:val="20"/>
        </w:rPr>
      </w:pPr>
      <w:r>
        <w:rPr>
          <w:rFonts w:ascii="Source Sans Pro" w:eastAsia="Source Sans Pro" w:hAnsi="Source Sans Pro" w:cs="Source Sans Pro"/>
          <w:sz w:val="22"/>
        </w:rPr>
        <w:t>(647) 222-0574</w:t>
      </w:r>
      <w:r>
        <w:rPr>
          <w:rFonts w:ascii="Source Sans Pro" w:eastAsia="Source Sans Pro" w:hAnsi="Source Sans Pro" w:cs="Source Sans Pro"/>
          <w:sz w:val="22"/>
        </w:rPr>
        <w:tab/>
      </w:r>
      <w:bookmarkStart w:id="2" w:name="Section6"/>
      <w:bookmarkStart w:id="3" w:name="Section7"/>
      <w:bookmarkStart w:id="4" w:name="Section8"/>
      <w:bookmarkEnd w:id="2"/>
      <w:bookmarkEnd w:id="3"/>
      <w:bookmarkEnd w:id="4"/>
    </w:p>
    <w:sectPr w:rsidR="009016C9" w:rsidSect="00975466">
      <w:headerReference w:type="default" r:id="rId10"/>
      <w:footerReference w:type="default" r:id="rId11"/>
      <w:headerReference w:type="first" r:id="rId12"/>
      <w:footerReference w:type="first" r:id="rId13"/>
      <w:pgSz w:w="12240" w:h="15840"/>
      <w:pgMar w:top="855" w:right="990" w:bottom="855" w:left="990" w:header="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EBFC" w14:textId="77777777" w:rsidR="00F44A75" w:rsidRDefault="00F44A75">
      <w:r>
        <w:separator/>
      </w:r>
    </w:p>
  </w:endnote>
  <w:endnote w:type="continuationSeparator" w:id="0">
    <w:p w14:paraId="7494B0FE" w14:textId="77777777" w:rsidR="00F44A75" w:rsidRDefault="00F4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92A5" w14:textId="77777777" w:rsidR="009016C9" w:rsidRDefault="00BE0101">
    <w:pPr>
      <w:spacing w:line="288" w:lineRule="auto"/>
      <w:jc w:val="center"/>
      <w:rPr>
        <w:rFonts w:ascii="Source Sans Pro" w:eastAsia="Source Sans Pro" w:hAnsi="Source Sans Pro" w:cs="Source Sans Pro"/>
        <w:b/>
        <w:sz w:val="18"/>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56F0" w14:textId="77777777" w:rsidR="009016C9" w:rsidRDefault="00BE0101">
    <w:pPr>
      <w:spacing w:line="288" w:lineRule="auto"/>
      <w:jc w:val="center"/>
      <w:outlineLvl w:val="0"/>
      <w:rPr>
        <w:rFonts w:ascii="Source Sans Pro" w:eastAsia="Source Sans Pro" w:hAnsi="Source Sans Pro" w:cs="Source Sans Pro"/>
        <w:b/>
        <w:sz w:val="18"/>
      </w:rPr>
    </w:pPr>
    <w:r>
      <w:rPr>
        <w:rFonts w:ascii="Source Sans Pro" w:eastAsia="Source Sans Pro" w:hAnsi="Source Sans Pro" w:cs="Source Sans Pro"/>
        <w:b/>
        <w:sz w:val="18"/>
      </w:rPr>
      <w:t>HELIOS FAIRFAX PARTNERS CORPORATION</w:t>
    </w:r>
  </w:p>
  <w:p w14:paraId="048A2057" w14:textId="77777777" w:rsidR="009016C9" w:rsidRDefault="00BE0101">
    <w:pPr>
      <w:spacing w:line="288" w:lineRule="auto"/>
      <w:jc w:val="center"/>
      <w:outlineLvl w:val="0"/>
      <w:rPr>
        <w:rFonts w:ascii="Source Sans Pro" w:eastAsia="Source Sans Pro" w:hAnsi="Source Sans Pro" w:cs="Source Sans Pro"/>
        <w:b/>
        <w:sz w:val="18"/>
      </w:rPr>
    </w:pPr>
    <w:r>
      <w:rPr>
        <w:rFonts w:ascii="Source Sans Pro" w:eastAsia="Source Sans Pro" w:hAnsi="Source Sans Pro" w:cs="Source Sans Pro"/>
        <w:b/>
        <w:sz w:val="18"/>
      </w:rPr>
      <w:t>Royal Bank Plaza, South Tower, 200 Bay Street, Suite 1301, Toronto, ON, M5J 2J2.  Telephone: 647-846-1881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ECF" w14:textId="77777777" w:rsidR="00F44A75" w:rsidRDefault="00F44A75">
      <w:r>
        <w:separator/>
      </w:r>
    </w:p>
  </w:footnote>
  <w:footnote w:type="continuationSeparator" w:id="0">
    <w:p w14:paraId="22C00C65" w14:textId="77777777" w:rsidR="00F44A75" w:rsidRDefault="00F4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C415" w14:textId="77777777" w:rsidR="009016C9" w:rsidRDefault="009016C9">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8DD6" w14:textId="77777777" w:rsidR="009016C9" w:rsidRDefault="009016C9">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025A84E8">
      <w:start w:val="1"/>
      <w:numFmt w:val="bullet"/>
      <w:lvlText w:val="•"/>
      <w:lvlJc w:val="left"/>
      <w:pPr>
        <w:tabs>
          <w:tab w:val="num" w:pos="0"/>
        </w:tabs>
        <w:ind w:left="720" w:hanging="360"/>
      </w:pPr>
      <w:rPr>
        <w:rFonts w:ascii="Source Sans Pro" w:eastAsia="Source Sans Pro" w:hAnsi="Source Sans Pro" w:cs="Source Sans Pro"/>
        <w:b w:val="0"/>
        <w:i w:val="0"/>
        <w:strike w:val="0"/>
        <w:sz w:val="22"/>
      </w:rPr>
    </w:lvl>
    <w:lvl w:ilvl="1" w:tplc="40242624">
      <w:start w:val="1"/>
      <w:numFmt w:val="bullet"/>
      <w:lvlText w:val="o"/>
      <w:lvlJc w:val="left"/>
      <w:pPr>
        <w:tabs>
          <w:tab w:val="num" w:pos="1440"/>
        </w:tabs>
        <w:ind w:left="1440" w:hanging="360"/>
      </w:pPr>
      <w:rPr>
        <w:rFonts w:ascii="Courier New" w:hAnsi="Courier New"/>
      </w:rPr>
    </w:lvl>
    <w:lvl w:ilvl="2" w:tplc="77043A9E">
      <w:start w:val="1"/>
      <w:numFmt w:val="bullet"/>
      <w:lvlText w:val=""/>
      <w:lvlJc w:val="left"/>
      <w:pPr>
        <w:tabs>
          <w:tab w:val="num" w:pos="2160"/>
        </w:tabs>
        <w:ind w:left="2160" w:hanging="360"/>
      </w:pPr>
      <w:rPr>
        <w:rFonts w:ascii="Wingdings" w:hAnsi="Wingdings"/>
      </w:rPr>
    </w:lvl>
    <w:lvl w:ilvl="3" w:tplc="28D040C2">
      <w:start w:val="1"/>
      <w:numFmt w:val="bullet"/>
      <w:lvlText w:val=""/>
      <w:lvlJc w:val="left"/>
      <w:pPr>
        <w:tabs>
          <w:tab w:val="num" w:pos="2880"/>
        </w:tabs>
        <w:ind w:left="2880" w:hanging="360"/>
      </w:pPr>
      <w:rPr>
        <w:rFonts w:ascii="Symbol" w:hAnsi="Symbol"/>
      </w:rPr>
    </w:lvl>
    <w:lvl w:ilvl="4" w:tplc="D0CA727A">
      <w:start w:val="1"/>
      <w:numFmt w:val="bullet"/>
      <w:lvlText w:val="o"/>
      <w:lvlJc w:val="left"/>
      <w:pPr>
        <w:tabs>
          <w:tab w:val="num" w:pos="3600"/>
        </w:tabs>
        <w:ind w:left="3600" w:hanging="360"/>
      </w:pPr>
      <w:rPr>
        <w:rFonts w:ascii="Courier New" w:hAnsi="Courier New"/>
      </w:rPr>
    </w:lvl>
    <w:lvl w:ilvl="5" w:tplc="4BDCBFD8">
      <w:start w:val="1"/>
      <w:numFmt w:val="bullet"/>
      <w:lvlText w:val=""/>
      <w:lvlJc w:val="left"/>
      <w:pPr>
        <w:tabs>
          <w:tab w:val="num" w:pos="4320"/>
        </w:tabs>
        <w:ind w:left="4320" w:hanging="360"/>
      </w:pPr>
      <w:rPr>
        <w:rFonts w:ascii="Wingdings" w:hAnsi="Wingdings"/>
      </w:rPr>
    </w:lvl>
    <w:lvl w:ilvl="6" w:tplc="6374E832">
      <w:start w:val="1"/>
      <w:numFmt w:val="bullet"/>
      <w:lvlText w:val=""/>
      <w:lvlJc w:val="left"/>
      <w:pPr>
        <w:tabs>
          <w:tab w:val="num" w:pos="5040"/>
        </w:tabs>
        <w:ind w:left="5040" w:hanging="360"/>
      </w:pPr>
      <w:rPr>
        <w:rFonts w:ascii="Symbol" w:hAnsi="Symbol"/>
      </w:rPr>
    </w:lvl>
    <w:lvl w:ilvl="7" w:tplc="59A81E1C">
      <w:start w:val="1"/>
      <w:numFmt w:val="bullet"/>
      <w:lvlText w:val="o"/>
      <w:lvlJc w:val="left"/>
      <w:pPr>
        <w:tabs>
          <w:tab w:val="num" w:pos="5760"/>
        </w:tabs>
        <w:ind w:left="5760" w:hanging="360"/>
      </w:pPr>
      <w:rPr>
        <w:rFonts w:ascii="Courier New" w:hAnsi="Courier New"/>
      </w:rPr>
    </w:lvl>
    <w:lvl w:ilvl="8" w:tplc="6CAED2F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BAACDC74">
      <w:start w:val="1"/>
      <w:numFmt w:val="bullet"/>
      <w:lvlText w:val="•"/>
      <w:lvlJc w:val="left"/>
      <w:pPr>
        <w:tabs>
          <w:tab w:val="num" w:pos="0"/>
        </w:tabs>
        <w:ind w:left="720" w:hanging="360"/>
      </w:pPr>
      <w:rPr>
        <w:rFonts w:ascii="Source Sans Pro" w:eastAsia="Source Sans Pro" w:hAnsi="Source Sans Pro" w:cs="Source Sans Pro"/>
        <w:b w:val="0"/>
        <w:i w:val="0"/>
        <w:strike w:val="0"/>
        <w:sz w:val="22"/>
      </w:rPr>
    </w:lvl>
    <w:lvl w:ilvl="1" w:tplc="D86671D8">
      <w:start w:val="1"/>
      <w:numFmt w:val="bullet"/>
      <w:lvlText w:val="o"/>
      <w:lvlJc w:val="left"/>
      <w:pPr>
        <w:tabs>
          <w:tab w:val="num" w:pos="1440"/>
        </w:tabs>
        <w:ind w:left="1440" w:hanging="360"/>
      </w:pPr>
      <w:rPr>
        <w:rFonts w:ascii="Courier New" w:hAnsi="Courier New"/>
      </w:rPr>
    </w:lvl>
    <w:lvl w:ilvl="2" w:tplc="0F66211C">
      <w:start w:val="1"/>
      <w:numFmt w:val="bullet"/>
      <w:lvlText w:val=""/>
      <w:lvlJc w:val="left"/>
      <w:pPr>
        <w:tabs>
          <w:tab w:val="num" w:pos="2160"/>
        </w:tabs>
        <w:ind w:left="2160" w:hanging="360"/>
      </w:pPr>
      <w:rPr>
        <w:rFonts w:ascii="Wingdings" w:hAnsi="Wingdings"/>
      </w:rPr>
    </w:lvl>
    <w:lvl w:ilvl="3" w:tplc="8CBC942E">
      <w:start w:val="1"/>
      <w:numFmt w:val="bullet"/>
      <w:lvlText w:val=""/>
      <w:lvlJc w:val="left"/>
      <w:pPr>
        <w:tabs>
          <w:tab w:val="num" w:pos="2880"/>
        </w:tabs>
        <w:ind w:left="2880" w:hanging="360"/>
      </w:pPr>
      <w:rPr>
        <w:rFonts w:ascii="Symbol" w:hAnsi="Symbol"/>
      </w:rPr>
    </w:lvl>
    <w:lvl w:ilvl="4" w:tplc="4C9206C6">
      <w:start w:val="1"/>
      <w:numFmt w:val="bullet"/>
      <w:lvlText w:val="o"/>
      <w:lvlJc w:val="left"/>
      <w:pPr>
        <w:tabs>
          <w:tab w:val="num" w:pos="3600"/>
        </w:tabs>
        <w:ind w:left="3600" w:hanging="360"/>
      </w:pPr>
      <w:rPr>
        <w:rFonts w:ascii="Courier New" w:hAnsi="Courier New"/>
      </w:rPr>
    </w:lvl>
    <w:lvl w:ilvl="5" w:tplc="4784FF80">
      <w:start w:val="1"/>
      <w:numFmt w:val="bullet"/>
      <w:lvlText w:val=""/>
      <w:lvlJc w:val="left"/>
      <w:pPr>
        <w:tabs>
          <w:tab w:val="num" w:pos="4320"/>
        </w:tabs>
        <w:ind w:left="4320" w:hanging="360"/>
      </w:pPr>
      <w:rPr>
        <w:rFonts w:ascii="Wingdings" w:hAnsi="Wingdings"/>
      </w:rPr>
    </w:lvl>
    <w:lvl w:ilvl="6" w:tplc="83D2A3E8">
      <w:start w:val="1"/>
      <w:numFmt w:val="bullet"/>
      <w:lvlText w:val=""/>
      <w:lvlJc w:val="left"/>
      <w:pPr>
        <w:tabs>
          <w:tab w:val="num" w:pos="5040"/>
        </w:tabs>
        <w:ind w:left="5040" w:hanging="360"/>
      </w:pPr>
      <w:rPr>
        <w:rFonts w:ascii="Symbol" w:hAnsi="Symbol"/>
      </w:rPr>
    </w:lvl>
    <w:lvl w:ilvl="7" w:tplc="8A7AEE74">
      <w:start w:val="1"/>
      <w:numFmt w:val="bullet"/>
      <w:lvlText w:val="o"/>
      <w:lvlJc w:val="left"/>
      <w:pPr>
        <w:tabs>
          <w:tab w:val="num" w:pos="5760"/>
        </w:tabs>
        <w:ind w:left="5760" w:hanging="360"/>
      </w:pPr>
      <w:rPr>
        <w:rFonts w:ascii="Courier New" w:hAnsi="Courier New"/>
      </w:rPr>
    </w:lvl>
    <w:lvl w:ilvl="8" w:tplc="931AB31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94C459C">
      <w:start w:val="1"/>
      <w:numFmt w:val="bullet"/>
      <w:lvlText w:val="•"/>
      <w:lvlJc w:val="left"/>
      <w:pPr>
        <w:tabs>
          <w:tab w:val="num" w:pos="0"/>
        </w:tabs>
        <w:ind w:left="720" w:hanging="360"/>
      </w:pPr>
      <w:rPr>
        <w:rFonts w:ascii="Source Sans Pro" w:eastAsia="Source Sans Pro" w:hAnsi="Source Sans Pro" w:cs="Source Sans Pro"/>
        <w:b w:val="0"/>
        <w:i w:val="0"/>
        <w:strike w:val="0"/>
        <w:sz w:val="22"/>
      </w:rPr>
    </w:lvl>
    <w:lvl w:ilvl="1" w:tplc="FF561584">
      <w:start w:val="1"/>
      <w:numFmt w:val="bullet"/>
      <w:lvlText w:val="o"/>
      <w:lvlJc w:val="left"/>
      <w:pPr>
        <w:tabs>
          <w:tab w:val="num" w:pos="1440"/>
        </w:tabs>
        <w:ind w:left="1440" w:hanging="360"/>
      </w:pPr>
      <w:rPr>
        <w:rFonts w:ascii="Courier New" w:hAnsi="Courier New"/>
      </w:rPr>
    </w:lvl>
    <w:lvl w:ilvl="2" w:tplc="C76E58AE">
      <w:start w:val="1"/>
      <w:numFmt w:val="bullet"/>
      <w:lvlText w:val=""/>
      <w:lvlJc w:val="left"/>
      <w:pPr>
        <w:tabs>
          <w:tab w:val="num" w:pos="2160"/>
        </w:tabs>
        <w:ind w:left="2160" w:hanging="360"/>
      </w:pPr>
      <w:rPr>
        <w:rFonts w:ascii="Wingdings" w:hAnsi="Wingdings"/>
      </w:rPr>
    </w:lvl>
    <w:lvl w:ilvl="3" w:tplc="965003EA">
      <w:start w:val="1"/>
      <w:numFmt w:val="bullet"/>
      <w:lvlText w:val=""/>
      <w:lvlJc w:val="left"/>
      <w:pPr>
        <w:tabs>
          <w:tab w:val="num" w:pos="2880"/>
        </w:tabs>
        <w:ind w:left="2880" w:hanging="360"/>
      </w:pPr>
      <w:rPr>
        <w:rFonts w:ascii="Symbol" w:hAnsi="Symbol"/>
      </w:rPr>
    </w:lvl>
    <w:lvl w:ilvl="4" w:tplc="6B54CDFC">
      <w:start w:val="1"/>
      <w:numFmt w:val="bullet"/>
      <w:lvlText w:val="o"/>
      <w:lvlJc w:val="left"/>
      <w:pPr>
        <w:tabs>
          <w:tab w:val="num" w:pos="3600"/>
        </w:tabs>
        <w:ind w:left="3600" w:hanging="360"/>
      </w:pPr>
      <w:rPr>
        <w:rFonts w:ascii="Courier New" w:hAnsi="Courier New"/>
      </w:rPr>
    </w:lvl>
    <w:lvl w:ilvl="5" w:tplc="E250A654">
      <w:start w:val="1"/>
      <w:numFmt w:val="bullet"/>
      <w:lvlText w:val=""/>
      <w:lvlJc w:val="left"/>
      <w:pPr>
        <w:tabs>
          <w:tab w:val="num" w:pos="4320"/>
        </w:tabs>
        <w:ind w:left="4320" w:hanging="360"/>
      </w:pPr>
      <w:rPr>
        <w:rFonts w:ascii="Wingdings" w:hAnsi="Wingdings"/>
      </w:rPr>
    </w:lvl>
    <w:lvl w:ilvl="6" w:tplc="80B89818">
      <w:start w:val="1"/>
      <w:numFmt w:val="bullet"/>
      <w:lvlText w:val=""/>
      <w:lvlJc w:val="left"/>
      <w:pPr>
        <w:tabs>
          <w:tab w:val="num" w:pos="5040"/>
        </w:tabs>
        <w:ind w:left="5040" w:hanging="360"/>
      </w:pPr>
      <w:rPr>
        <w:rFonts w:ascii="Symbol" w:hAnsi="Symbol"/>
      </w:rPr>
    </w:lvl>
    <w:lvl w:ilvl="7" w:tplc="442825F8">
      <w:start w:val="1"/>
      <w:numFmt w:val="bullet"/>
      <w:lvlText w:val="o"/>
      <w:lvlJc w:val="left"/>
      <w:pPr>
        <w:tabs>
          <w:tab w:val="num" w:pos="5760"/>
        </w:tabs>
        <w:ind w:left="5760" w:hanging="360"/>
      </w:pPr>
      <w:rPr>
        <w:rFonts w:ascii="Courier New" w:hAnsi="Courier New"/>
      </w:rPr>
    </w:lvl>
    <w:lvl w:ilvl="8" w:tplc="E00E3E3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58026E2">
      <w:start w:val="1"/>
      <w:numFmt w:val="bullet"/>
      <w:lvlText w:val="•"/>
      <w:lvlJc w:val="left"/>
      <w:pPr>
        <w:tabs>
          <w:tab w:val="num" w:pos="0"/>
        </w:tabs>
        <w:ind w:left="720" w:hanging="360"/>
      </w:pPr>
      <w:rPr>
        <w:rFonts w:ascii="Source Sans Pro" w:eastAsia="Source Sans Pro" w:hAnsi="Source Sans Pro" w:cs="Source Sans Pro"/>
        <w:b w:val="0"/>
        <w:i w:val="0"/>
        <w:strike w:val="0"/>
        <w:sz w:val="22"/>
      </w:rPr>
    </w:lvl>
    <w:lvl w:ilvl="1" w:tplc="26FC1A28">
      <w:start w:val="1"/>
      <w:numFmt w:val="bullet"/>
      <w:lvlText w:val="o"/>
      <w:lvlJc w:val="left"/>
      <w:pPr>
        <w:tabs>
          <w:tab w:val="num" w:pos="1440"/>
        </w:tabs>
        <w:ind w:left="1440" w:hanging="360"/>
      </w:pPr>
      <w:rPr>
        <w:rFonts w:ascii="Courier New" w:hAnsi="Courier New"/>
      </w:rPr>
    </w:lvl>
    <w:lvl w:ilvl="2" w:tplc="CA9C4AA0">
      <w:start w:val="1"/>
      <w:numFmt w:val="bullet"/>
      <w:lvlText w:val=""/>
      <w:lvlJc w:val="left"/>
      <w:pPr>
        <w:tabs>
          <w:tab w:val="num" w:pos="2160"/>
        </w:tabs>
        <w:ind w:left="2160" w:hanging="360"/>
      </w:pPr>
      <w:rPr>
        <w:rFonts w:ascii="Wingdings" w:hAnsi="Wingdings"/>
      </w:rPr>
    </w:lvl>
    <w:lvl w:ilvl="3" w:tplc="4704BAF4">
      <w:start w:val="1"/>
      <w:numFmt w:val="bullet"/>
      <w:lvlText w:val=""/>
      <w:lvlJc w:val="left"/>
      <w:pPr>
        <w:tabs>
          <w:tab w:val="num" w:pos="2880"/>
        </w:tabs>
        <w:ind w:left="2880" w:hanging="360"/>
      </w:pPr>
      <w:rPr>
        <w:rFonts w:ascii="Symbol" w:hAnsi="Symbol"/>
      </w:rPr>
    </w:lvl>
    <w:lvl w:ilvl="4" w:tplc="B576E536">
      <w:start w:val="1"/>
      <w:numFmt w:val="bullet"/>
      <w:lvlText w:val="o"/>
      <w:lvlJc w:val="left"/>
      <w:pPr>
        <w:tabs>
          <w:tab w:val="num" w:pos="3600"/>
        </w:tabs>
        <w:ind w:left="3600" w:hanging="360"/>
      </w:pPr>
      <w:rPr>
        <w:rFonts w:ascii="Courier New" w:hAnsi="Courier New"/>
      </w:rPr>
    </w:lvl>
    <w:lvl w:ilvl="5" w:tplc="0158E8D4">
      <w:start w:val="1"/>
      <w:numFmt w:val="bullet"/>
      <w:lvlText w:val=""/>
      <w:lvlJc w:val="left"/>
      <w:pPr>
        <w:tabs>
          <w:tab w:val="num" w:pos="4320"/>
        </w:tabs>
        <w:ind w:left="4320" w:hanging="360"/>
      </w:pPr>
      <w:rPr>
        <w:rFonts w:ascii="Wingdings" w:hAnsi="Wingdings"/>
      </w:rPr>
    </w:lvl>
    <w:lvl w:ilvl="6" w:tplc="B5F02B3E">
      <w:start w:val="1"/>
      <w:numFmt w:val="bullet"/>
      <w:lvlText w:val=""/>
      <w:lvlJc w:val="left"/>
      <w:pPr>
        <w:tabs>
          <w:tab w:val="num" w:pos="5040"/>
        </w:tabs>
        <w:ind w:left="5040" w:hanging="360"/>
      </w:pPr>
      <w:rPr>
        <w:rFonts w:ascii="Symbol" w:hAnsi="Symbol"/>
      </w:rPr>
    </w:lvl>
    <w:lvl w:ilvl="7" w:tplc="42CE3D6C">
      <w:start w:val="1"/>
      <w:numFmt w:val="bullet"/>
      <w:lvlText w:val="o"/>
      <w:lvlJc w:val="left"/>
      <w:pPr>
        <w:tabs>
          <w:tab w:val="num" w:pos="5760"/>
        </w:tabs>
        <w:ind w:left="5760" w:hanging="360"/>
      </w:pPr>
      <w:rPr>
        <w:rFonts w:ascii="Courier New" w:hAnsi="Courier New"/>
      </w:rPr>
    </w:lvl>
    <w:lvl w:ilvl="8" w:tplc="DDC08A3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1AECC5E">
      <w:start w:val="1"/>
      <w:numFmt w:val="bullet"/>
      <w:lvlText w:val="•"/>
      <w:lvlJc w:val="left"/>
      <w:pPr>
        <w:tabs>
          <w:tab w:val="num" w:pos="0"/>
        </w:tabs>
        <w:ind w:left="720" w:hanging="360"/>
      </w:pPr>
      <w:rPr>
        <w:rFonts w:ascii="Source Sans Pro" w:eastAsia="Source Sans Pro" w:hAnsi="Source Sans Pro" w:cs="Source Sans Pro"/>
        <w:b w:val="0"/>
        <w:i w:val="0"/>
        <w:strike w:val="0"/>
        <w:sz w:val="22"/>
      </w:rPr>
    </w:lvl>
    <w:lvl w:ilvl="1" w:tplc="DC345D98">
      <w:start w:val="1"/>
      <w:numFmt w:val="bullet"/>
      <w:lvlText w:val="o"/>
      <w:lvlJc w:val="left"/>
      <w:pPr>
        <w:tabs>
          <w:tab w:val="num" w:pos="1440"/>
        </w:tabs>
        <w:ind w:left="1440" w:hanging="360"/>
      </w:pPr>
      <w:rPr>
        <w:rFonts w:ascii="Courier New" w:hAnsi="Courier New"/>
      </w:rPr>
    </w:lvl>
    <w:lvl w:ilvl="2" w:tplc="F4E8F816">
      <w:start w:val="1"/>
      <w:numFmt w:val="bullet"/>
      <w:lvlText w:val=""/>
      <w:lvlJc w:val="left"/>
      <w:pPr>
        <w:tabs>
          <w:tab w:val="num" w:pos="2160"/>
        </w:tabs>
        <w:ind w:left="2160" w:hanging="360"/>
      </w:pPr>
      <w:rPr>
        <w:rFonts w:ascii="Wingdings" w:hAnsi="Wingdings"/>
      </w:rPr>
    </w:lvl>
    <w:lvl w:ilvl="3" w:tplc="E5A453B8">
      <w:start w:val="1"/>
      <w:numFmt w:val="bullet"/>
      <w:lvlText w:val=""/>
      <w:lvlJc w:val="left"/>
      <w:pPr>
        <w:tabs>
          <w:tab w:val="num" w:pos="2880"/>
        </w:tabs>
        <w:ind w:left="2880" w:hanging="360"/>
      </w:pPr>
      <w:rPr>
        <w:rFonts w:ascii="Symbol" w:hAnsi="Symbol"/>
      </w:rPr>
    </w:lvl>
    <w:lvl w:ilvl="4" w:tplc="4EB85D46">
      <w:start w:val="1"/>
      <w:numFmt w:val="bullet"/>
      <w:lvlText w:val="o"/>
      <w:lvlJc w:val="left"/>
      <w:pPr>
        <w:tabs>
          <w:tab w:val="num" w:pos="3600"/>
        </w:tabs>
        <w:ind w:left="3600" w:hanging="360"/>
      </w:pPr>
      <w:rPr>
        <w:rFonts w:ascii="Courier New" w:hAnsi="Courier New"/>
      </w:rPr>
    </w:lvl>
    <w:lvl w:ilvl="5" w:tplc="D5A23D4C">
      <w:start w:val="1"/>
      <w:numFmt w:val="bullet"/>
      <w:lvlText w:val=""/>
      <w:lvlJc w:val="left"/>
      <w:pPr>
        <w:tabs>
          <w:tab w:val="num" w:pos="4320"/>
        </w:tabs>
        <w:ind w:left="4320" w:hanging="360"/>
      </w:pPr>
      <w:rPr>
        <w:rFonts w:ascii="Wingdings" w:hAnsi="Wingdings"/>
      </w:rPr>
    </w:lvl>
    <w:lvl w:ilvl="6" w:tplc="D53ABD1E">
      <w:start w:val="1"/>
      <w:numFmt w:val="bullet"/>
      <w:lvlText w:val=""/>
      <w:lvlJc w:val="left"/>
      <w:pPr>
        <w:tabs>
          <w:tab w:val="num" w:pos="5040"/>
        </w:tabs>
        <w:ind w:left="5040" w:hanging="360"/>
      </w:pPr>
      <w:rPr>
        <w:rFonts w:ascii="Symbol" w:hAnsi="Symbol"/>
      </w:rPr>
    </w:lvl>
    <w:lvl w:ilvl="7" w:tplc="A0FC5790">
      <w:start w:val="1"/>
      <w:numFmt w:val="bullet"/>
      <w:lvlText w:val="o"/>
      <w:lvlJc w:val="left"/>
      <w:pPr>
        <w:tabs>
          <w:tab w:val="num" w:pos="5760"/>
        </w:tabs>
        <w:ind w:left="5760" w:hanging="360"/>
      </w:pPr>
      <w:rPr>
        <w:rFonts w:ascii="Courier New" w:hAnsi="Courier New"/>
      </w:rPr>
    </w:lvl>
    <w:lvl w:ilvl="8" w:tplc="A1B8C218">
      <w:start w:val="1"/>
      <w:numFmt w:val="bullet"/>
      <w:lvlText w:val=""/>
      <w:lvlJc w:val="left"/>
      <w:pPr>
        <w:tabs>
          <w:tab w:val="num" w:pos="6480"/>
        </w:tabs>
        <w:ind w:left="6480" w:hanging="360"/>
      </w:pPr>
      <w:rPr>
        <w:rFonts w:ascii="Wingdings" w:hAnsi="Wingdings"/>
      </w:rPr>
    </w:lvl>
  </w:abstractNum>
  <w:num w:numId="1" w16cid:durableId="382143961">
    <w:abstractNumId w:val="0"/>
  </w:num>
  <w:num w:numId="2" w16cid:durableId="2121564110">
    <w:abstractNumId w:val="1"/>
  </w:num>
  <w:num w:numId="3" w16cid:durableId="1985041507">
    <w:abstractNumId w:val="2"/>
  </w:num>
  <w:num w:numId="4" w16cid:durableId="1893694326">
    <w:abstractNumId w:val="3"/>
  </w:num>
  <w:num w:numId="5" w16cid:durableId="560865361">
    <w:abstractNumId w:val="4"/>
  </w:num>
  <w:num w:numId="6" w16cid:durableId="2098361025">
    <w:abstractNumId w:val="5"/>
  </w:num>
  <w:num w:numId="7" w16cid:durableId="1958220551">
    <w:abstractNumId w:val="6"/>
  </w:num>
  <w:num w:numId="8" w16cid:durableId="1815222969">
    <w:abstractNumId w:val="7"/>
  </w:num>
  <w:num w:numId="9" w16cid:durableId="1300040818">
    <w:abstractNumId w:val="8"/>
  </w:num>
  <w:num w:numId="10" w16cid:durableId="1149323146">
    <w:abstractNumId w:val="9"/>
  </w:num>
  <w:num w:numId="11" w16cid:durableId="1511336412">
    <w:abstractNumId w:val="10"/>
  </w:num>
  <w:num w:numId="12" w16cid:durableId="1566604037">
    <w:abstractNumId w:val="11"/>
  </w:num>
  <w:num w:numId="13" w16cid:durableId="1776972015">
    <w:abstractNumId w:val="12"/>
  </w:num>
  <w:num w:numId="14" w16cid:durableId="1742406464">
    <w:abstractNumId w:val="13"/>
  </w:num>
  <w:num w:numId="15" w16cid:durableId="1358045952">
    <w:abstractNumId w:val="14"/>
  </w:num>
  <w:num w:numId="16" w16cid:durableId="401178129">
    <w:abstractNumId w:val="15"/>
  </w:num>
  <w:num w:numId="17" w16cid:durableId="1832480980">
    <w:abstractNumId w:val="16"/>
  </w:num>
  <w:num w:numId="18" w16cid:durableId="1691790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792"/>
    <w:rsid w:val="00025B77"/>
    <w:rsid w:val="00056A8C"/>
    <w:rsid w:val="00057DA4"/>
    <w:rsid w:val="000653CD"/>
    <w:rsid w:val="000A42DF"/>
    <w:rsid w:val="000E598A"/>
    <w:rsid w:val="00144191"/>
    <w:rsid w:val="00154298"/>
    <w:rsid w:val="00171B90"/>
    <w:rsid w:val="001769B9"/>
    <w:rsid w:val="001E7899"/>
    <w:rsid w:val="002231B0"/>
    <w:rsid w:val="00246A05"/>
    <w:rsid w:val="002505EE"/>
    <w:rsid w:val="002801D7"/>
    <w:rsid w:val="002A1AE5"/>
    <w:rsid w:val="002D7FC4"/>
    <w:rsid w:val="003000C7"/>
    <w:rsid w:val="003325D3"/>
    <w:rsid w:val="00363EF0"/>
    <w:rsid w:val="003F1A90"/>
    <w:rsid w:val="00410805"/>
    <w:rsid w:val="005174B1"/>
    <w:rsid w:val="00576F94"/>
    <w:rsid w:val="005D7337"/>
    <w:rsid w:val="005E5DEB"/>
    <w:rsid w:val="00637E59"/>
    <w:rsid w:val="006A7A75"/>
    <w:rsid w:val="00706559"/>
    <w:rsid w:val="00717486"/>
    <w:rsid w:val="007374F0"/>
    <w:rsid w:val="008032BB"/>
    <w:rsid w:val="00835C48"/>
    <w:rsid w:val="00853E42"/>
    <w:rsid w:val="00880F35"/>
    <w:rsid w:val="008817B7"/>
    <w:rsid w:val="008820C7"/>
    <w:rsid w:val="008A2F25"/>
    <w:rsid w:val="008D1763"/>
    <w:rsid w:val="009016C9"/>
    <w:rsid w:val="00930786"/>
    <w:rsid w:val="00943779"/>
    <w:rsid w:val="00955809"/>
    <w:rsid w:val="00975466"/>
    <w:rsid w:val="009E7D7E"/>
    <w:rsid w:val="00A0633A"/>
    <w:rsid w:val="00A45200"/>
    <w:rsid w:val="00A52A79"/>
    <w:rsid w:val="00A53A0A"/>
    <w:rsid w:val="00A700F8"/>
    <w:rsid w:val="00A722D3"/>
    <w:rsid w:val="00A77B3E"/>
    <w:rsid w:val="00AB2A95"/>
    <w:rsid w:val="00AC4F6D"/>
    <w:rsid w:val="00AD559C"/>
    <w:rsid w:val="00AF6B24"/>
    <w:rsid w:val="00B62B57"/>
    <w:rsid w:val="00BC62F5"/>
    <w:rsid w:val="00BE0101"/>
    <w:rsid w:val="00C13143"/>
    <w:rsid w:val="00C53E12"/>
    <w:rsid w:val="00C72E4E"/>
    <w:rsid w:val="00CA2A55"/>
    <w:rsid w:val="00CA4155"/>
    <w:rsid w:val="00CA6CD1"/>
    <w:rsid w:val="00CC57F8"/>
    <w:rsid w:val="00CE6CB1"/>
    <w:rsid w:val="00CF43D7"/>
    <w:rsid w:val="00D30046"/>
    <w:rsid w:val="00D370F5"/>
    <w:rsid w:val="00D47902"/>
    <w:rsid w:val="00D73276"/>
    <w:rsid w:val="00DB7B64"/>
    <w:rsid w:val="00DD533A"/>
    <w:rsid w:val="00E04CC4"/>
    <w:rsid w:val="00E46E65"/>
    <w:rsid w:val="00E63D60"/>
    <w:rsid w:val="00F44A75"/>
    <w:rsid w:val="00F74A74"/>
    <w:rsid w:val="00FD3BA8"/>
    <w:rsid w:val="00FD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D6206"/>
  <w15:docId w15:val="{CC4C5E26-CBF2-4CEB-97C0-901803C3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Hyperlink">
    <w:name w:val="Hyperlink"/>
    <w:basedOn w:val="DefaultParagraphFont"/>
    <w:uiPriority w:val="99"/>
    <w:unhideWhenUsed/>
    <w:rsid w:val="009E7D7E"/>
    <w:rPr>
      <w:color w:val="0000FF"/>
      <w:u w:val="single"/>
    </w:rPr>
  </w:style>
  <w:style w:type="character" w:styleId="FollowedHyperlink">
    <w:name w:val="FollowedHyperlink"/>
    <w:basedOn w:val="DefaultParagraphFont"/>
    <w:rsid w:val="00056A8C"/>
    <w:rPr>
      <w:color w:val="800080" w:themeColor="followedHyperlink"/>
      <w:u w:val="single"/>
    </w:rPr>
  </w:style>
  <w:style w:type="character" w:styleId="UnresolvedMention">
    <w:name w:val="Unresolved Mention"/>
    <w:basedOn w:val="DefaultParagraphFont"/>
    <w:uiPriority w:val="99"/>
    <w:semiHidden/>
    <w:unhideWhenUsed/>
    <w:rsid w:val="00CE6CB1"/>
    <w:rPr>
      <w:color w:val="605E5C"/>
      <w:shd w:val="clear" w:color="auto" w:fill="E1DFDD"/>
    </w:rPr>
  </w:style>
  <w:style w:type="character" w:styleId="CommentReference">
    <w:name w:val="annotation reference"/>
    <w:basedOn w:val="DefaultParagraphFont"/>
    <w:rsid w:val="00A722D3"/>
    <w:rPr>
      <w:sz w:val="16"/>
      <w:szCs w:val="16"/>
    </w:rPr>
  </w:style>
  <w:style w:type="paragraph" w:styleId="CommentText">
    <w:name w:val="annotation text"/>
    <w:basedOn w:val="Normal"/>
    <w:link w:val="CommentTextChar"/>
    <w:rsid w:val="00A722D3"/>
    <w:rPr>
      <w:sz w:val="20"/>
      <w:szCs w:val="20"/>
    </w:rPr>
  </w:style>
  <w:style w:type="character" w:customStyle="1" w:styleId="CommentTextChar">
    <w:name w:val="Comment Text Char"/>
    <w:basedOn w:val="DefaultParagraphFont"/>
    <w:link w:val="CommentText"/>
    <w:rsid w:val="00A722D3"/>
  </w:style>
  <w:style w:type="paragraph" w:styleId="CommentSubject">
    <w:name w:val="annotation subject"/>
    <w:basedOn w:val="CommentText"/>
    <w:next w:val="CommentText"/>
    <w:link w:val="CommentSubjectChar"/>
    <w:rsid w:val="00A722D3"/>
    <w:rPr>
      <w:b/>
      <w:bCs/>
    </w:rPr>
  </w:style>
  <w:style w:type="character" w:customStyle="1" w:styleId="CommentSubjectChar">
    <w:name w:val="Comment Subject Char"/>
    <w:basedOn w:val="CommentTextChar"/>
    <w:link w:val="CommentSubject"/>
    <w:rsid w:val="00A72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now.global/MDXHV4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fpinvestorpresentation2026.can.chime.live/ap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liosfairfa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1701</Characters>
  <Application>Microsoft Office Word</Application>
  <DocSecurity>0</DocSecurity>
  <Lines>37</Lines>
  <Paragraphs>16</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Weber</cp:lastModifiedBy>
  <cp:revision>2</cp:revision>
  <dcterms:created xsi:type="dcterms:W3CDTF">1900-01-01T05:00:00Z</dcterms:created>
  <dcterms:modified xsi:type="dcterms:W3CDTF">2026-04-06T23:43:00Z</dcterms:modified>
</cp:coreProperties>
</file>