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B4122" w14:textId="77777777" w:rsidR="00730F13" w:rsidRPr="00730F13" w:rsidRDefault="00730F13" w:rsidP="00730F13">
      <w:pPr>
        <w:jc w:val="center"/>
        <w:rPr>
          <w:rFonts w:ascii="Times New Roman" w:hAnsi="Times New Roman" w:cs="Times New Roman"/>
          <w:sz w:val="36"/>
          <w:szCs w:val="36"/>
          <w:u w:val="single"/>
        </w:rPr>
      </w:pPr>
      <w:r w:rsidRPr="00730F13">
        <w:rPr>
          <w:rFonts w:ascii="Times New Roman" w:hAnsi="Times New Roman" w:cs="Times New Roman"/>
          <w:sz w:val="36"/>
          <w:szCs w:val="36"/>
          <w:u w:val="single"/>
        </w:rPr>
        <w:t>Biomedical Samples</w:t>
      </w:r>
    </w:p>
    <w:p w14:paraId="6A6BF14E" w14:textId="54FB3106" w:rsidR="00730F13" w:rsidRPr="00730F13" w:rsidRDefault="00730F13" w:rsidP="00730F13">
      <w:pPr>
        <w:rPr>
          <w:rFonts w:ascii="Times New Roman" w:hAnsi="Times New Roman" w:cs="Times New Roman"/>
        </w:rPr>
      </w:pPr>
      <w:r w:rsidRPr="00730F13">
        <w:rPr>
          <w:rFonts w:ascii="Times New Roman" w:hAnsi="Times New Roman" w:cs="Times New Roman"/>
        </w:rPr>
        <w:t xml:space="preserve">Our research primarily focuses on biomedical microorganisms isolated from clinically relevant samples, particularly from immunocompromised patients such as </w:t>
      </w:r>
      <w:proofErr w:type="spellStart"/>
      <w:r w:rsidRPr="00730F13">
        <w:rPr>
          <w:rFonts w:ascii="Times New Roman" w:hAnsi="Times New Roman" w:cs="Times New Roman"/>
        </w:rPr>
        <w:t>leukemia</w:t>
      </w:r>
      <w:proofErr w:type="spellEnd"/>
      <w:r w:rsidRPr="00730F13">
        <w:rPr>
          <w:rFonts w:ascii="Times New Roman" w:hAnsi="Times New Roman" w:cs="Times New Roman"/>
        </w:rPr>
        <w:t xml:space="preserve"> patients who are highly susceptible to opportunistic infections. We work extensively on rare and emerging opportunistic pathogens, especially </w:t>
      </w:r>
      <w:r w:rsidRPr="00730F13">
        <w:rPr>
          <w:rFonts w:ascii="Times New Roman" w:hAnsi="Times New Roman" w:cs="Times New Roman"/>
          <w:i/>
          <w:iCs/>
        </w:rPr>
        <w:t>Stenotrophomonas maltophilia</w:t>
      </w:r>
      <w:r w:rsidRPr="00730F13">
        <w:rPr>
          <w:rFonts w:ascii="Times New Roman" w:hAnsi="Times New Roman" w:cs="Times New Roman"/>
        </w:rPr>
        <w:t>,</w:t>
      </w:r>
      <w:r>
        <w:rPr>
          <w:rFonts w:ascii="Times New Roman" w:hAnsi="Times New Roman" w:cs="Times New Roman"/>
        </w:rPr>
        <w:t xml:space="preserve"> </w:t>
      </w:r>
      <w:r w:rsidRPr="00730F13">
        <w:rPr>
          <w:rFonts w:ascii="Times New Roman" w:hAnsi="Times New Roman" w:cs="Times New Roman"/>
          <w:i/>
          <w:iCs/>
        </w:rPr>
        <w:t>Burkholderia</w:t>
      </w:r>
      <w:r w:rsidRPr="00730F13">
        <w:rPr>
          <w:rFonts w:ascii="Times New Roman" w:hAnsi="Times New Roman" w:cs="Times New Roman"/>
        </w:rPr>
        <w:t xml:space="preserve"> along with other clinically significant</w:t>
      </w:r>
      <w:r>
        <w:rPr>
          <w:rFonts w:ascii="Times New Roman" w:hAnsi="Times New Roman" w:cs="Times New Roman"/>
        </w:rPr>
        <w:t xml:space="preserve"> and rare opportunistic</w:t>
      </w:r>
      <w:r w:rsidRPr="00730F13">
        <w:rPr>
          <w:rFonts w:ascii="Times New Roman" w:hAnsi="Times New Roman" w:cs="Times New Roman"/>
        </w:rPr>
        <w:t xml:space="preserve"> multidrug-resistant microorganisms. Through collaborations with multiple hospitals </w:t>
      </w:r>
      <w:r>
        <w:rPr>
          <w:rFonts w:ascii="Times New Roman" w:hAnsi="Times New Roman" w:cs="Times New Roman"/>
        </w:rPr>
        <w:t>such as AIIMS Rishikesh etc.</w:t>
      </w:r>
      <w:r w:rsidRPr="00730F13">
        <w:rPr>
          <w:rFonts w:ascii="Times New Roman" w:hAnsi="Times New Roman" w:cs="Times New Roman"/>
        </w:rPr>
        <w:t>, biomedical samples are routinely received and processed in our laboratory for microbiological, molecular, and pathogenicity-related investigations.</w:t>
      </w:r>
    </w:p>
    <w:p w14:paraId="4A153B71" w14:textId="77777777" w:rsidR="00730F13" w:rsidRPr="00730F13" w:rsidRDefault="00730F13" w:rsidP="00730F13">
      <w:pPr>
        <w:rPr>
          <w:rFonts w:ascii="Times New Roman" w:hAnsi="Times New Roman" w:cs="Times New Roman"/>
        </w:rPr>
      </w:pPr>
      <w:r w:rsidRPr="00730F13">
        <w:rPr>
          <w:rFonts w:ascii="Times New Roman" w:hAnsi="Times New Roman" w:cs="Times New Roman"/>
        </w:rPr>
        <w:t xml:space="preserve">One of the major aspects of our work involves </w:t>
      </w:r>
      <w:r w:rsidRPr="00205105">
        <w:rPr>
          <w:rFonts w:ascii="Times New Roman" w:hAnsi="Times New Roman" w:cs="Times New Roman"/>
          <w:b/>
          <w:bCs/>
        </w:rPr>
        <w:t>antimicrobial susceptibility testing (AST)</w:t>
      </w:r>
      <w:r w:rsidRPr="00730F13">
        <w:rPr>
          <w:rFonts w:ascii="Times New Roman" w:hAnsi="Times New Roman" w:cs="Times New Roman"/>
        </w:rPr>
        <w:t xml:space="preserve"> to determine the resistance and sensitivity profiles of clinical isolates against a broad spectrum of antibiotics. Using standardized microbiological approaches such as disk diffusion assays, </w:t>
      </w:r>
      <w:r w:rsidRPr="00205105">
        <w:rPr>
          <w:rFonts w:ascii="Times New Roman" w:hAnsi="Times New Roman" w:cs="Times New Roman"/>
          <w:b/>
          <w:bCs/>
        </w:rPr>
        <w:t xml:space="preserve">minimum inhibitory concentration (MIC) </w:t>
      </w:r>
      <w:r w:rsidRPr="00730F13">
        <w:rPr>
          <w:rFonts w:ascii="Times New Roman" w:hAnsi="Times New Roman" w:cs="Times New Roman"/>
        </w:rPr>
        <w:t>analysis, and broth-based susceptibility testing, we evaluate the antimicrobial resistance patterns of the isolates. These studies help in understanding multidrug resistance mechanisms and contribute toward identifying effective therapeutic strategies for difficult-to-treat infections.</w:t>
      </w:r>
    </w:p>
    <w:p w14:paraId="2B962C6D" w14:textId="77777777" w:rsidR="00730F13" w:rsidRDefault="00730F13" w:rsidP="00730F13">
      <w:pPr>
        <w:rPr>
          <w:rFonts w:ascii="Times New Roman" w:hAnsi="Times New Roman" w:cs="Times New Roman"/>
        </w:rPr>
      </w:pPr>
      <w:r w:rsidRPr="00730F13">
        <w:rPr>
          <w:rFonts w:ascii="Times New Roman" w:hAnsi="Times New Roman" w:cs="Times New Roman"/>
        </w:rPr>
        <w:t xml:space="preserve">A significant part of our research is dedicated to studying microbial </w:t>
      </w:r>
      <w:r w:rsidRPr="00205105">
        <w:rPr>
          <w:rFonts w:ascii="Times New Roman" w:hAnsi="Times New Roman" w:cs="Times New Roman"/>
          <w:b/>
          <w:bCs/>
        </w:rPr>
        <w:t>biofilms</w:t>
      </w:r>
      <w:r w:rsidRPr="00730F13">
        <w:rPr>
          <w:rFonts w:ascii="Times New Roman" w:hAnsi="Times New Roman" w:cs="Times New Roman"/>
        </w:rPr>
        <w:t>, which play a major role in chronic and persistent infections. We investigate the ability of clinical isolates to form biofilms under laboratory conditions using quantitative and qualitative biofilm assays. Isolates identified as strong biofilm producers are further characterized under different environmental and physiological conditions, including variations in sugar concentration, salt concentration, pH, and temperature. These studies help us understand how environmental stress and nutrient availability influence biofilm formation, architecture, and persistence in clinically relevant pathogens.</w:t>
      </w:r>
    </w:p>
    <w:p w14:paraId="0ECC0ED3" w14:textId="77777777" w:rsidR="00205105" w:rsidRPr="00730F13" w:rsidRDefault="00205105" w:rsidP="00205105">
      <w:pPr>
        <w:rPr>
          <w:rFonts w:ascii="Times New Roman" w:hAnsi="Times New Roman" w:cs="Times New Roman"/>
        </w:rPr>
      </w:pPr>
      <w:r w:rsidRPr="00730F13">
        <w:rPr>
          <w:rFonts w:ascii="Times New Roman" w:hAnsi="Times New Roman" w:cs="Times New Roman"/>
        </w:rPr>
        <w:t xml:space="preserve">To further characterize microbial morphology and biofilm ultrastructure, we employ electron microscopy techniques, particularly </w:t>
      </w:r>
      <w:r w:rsidRPr="00205105">
        <w:rPr>
          <w:rFonts w:ascii="Times New Roman" w:hAnsi="Times New Roman" w:cs="Times New Roman"/>
          <w:b/>
          <w:bCs/>
        </w:rPr>
        <w:t>scanning electron microscopy (SEM)</w:t>
      </w:r>
      <w:r w:rsidRPr="00730F13">
        <w:rPr>
          <w:rFonts w:ascii="Times New Roman" w:hAnsi="Times New Roman" w:cs="Times New Roman"/>
        </w:rPr>
        <w:t>. Electron microscopy allows detailed visualization of microbial surface architecture, extracellular polymeric substances (EPS), and the structural organization of mature biofilms. These imaging studies provide high-resolution evidence of biofilm development and microbial interactions on different surfaces.</w:t>
      </w:r>
    </w:p>
    <w:p w14:paraId="6A992A7E" w14:textId="67D0204D" w:rsidR="00205105" w:rsidRPr="00730F13" w:rsidRDefault="00205105" w:rsidP="00205105">
      <w:pPr>
        <w:jc w:val="center"/>
        <w:rPr>
          <w:rFonts w:ascii="Times New Roman" w:hAnsi="Times New Roman" w:cs="Times New Roman"/>
        </w:rPr>
      </w:pPr>
      <w:r>
        <w:rPr>
          <w:rFonts w:ascii="Times New Roman" w:hAnsi="Times New Roman" w:cs="Times New Roman"/>
          <w:noProof/>
        </w:rPr>
        <w:drawing>
          <wp:inline distT="0" distB="0" distL="0" distR="0" wp14:anchorId="725B295E" wp14:editId="4EFEE604">
            <wp:extent cx="1805940" cy="1354555"/>
            <wp:effectExtent l="0" t="0" r="3810" b="0"/>
            <wp:docPr id="700999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999005" name="Picture 700999005"/>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33881" cy="1375513"/>
                    </a:xfrm>
                    <a:prstGeom prst="rect">
                      <a:avLst/>
                    </a:prstGeom>
                  </pic:spPr>
                </pic:pic>
              </a:graphicData>
            </a:graphic>
          </wp:inline>
        </w:drawing>
      </w:r>
      <w:r>
        <w:rPr>
          <w:rFonts w:ascii="Times New Roman" w:hAnsi="Times New Roman" w:cs="Times New Roman"/>
          <w:noProof/>
        </w:rPr>
        <w:drawing>
          <wp:inline distT="0" distB="0" distL="0" distR="0" wp14:anchorId="4A27C8C6" wp14:editId="01FFD79A">
            <wp:extent cx="1818507" cy="1363980"/>
            <wp:effectExtent l="0" t="0" r="0" b="7620"/>
            <wp:docPr id="1040658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5885" name="Picture 104065885"/>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37095" cy="1377922"/>
                    </a:xfrm>
                    <a:prstGeom prst="rect">
                      <a:avLst/>
                    </a:prstGeom>
                  </pic:spPr>
                </pic:pic>
              </a:graphicData>
            </a:graphic>
          </wp:inline>
        </w:drawing>
      </w:r>
      <w:r>
        <w:rPr>
          <w:rFonts w:ascii="Times New Roman" w:hAnsi="Times New Roman" w:cs="Times New Roman"/>
          <w:noProof/>
        </w:rPr>
        <w:drawing>
          <wp:inline distT="0" distB="0" distL="0" distR="0" wp14:anchorId="36740742" wp14:editId="49D8173A">
            <wp:extent cx="1818508" cy="1363980"/>
            <wp:effectExtent l="0" t="0" r="0" b="7620"/>
            <wp:docPr id="410872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72027" name="Picture 41087202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35883" cy="1377012"/>
                    </a:xfrm>
                    <a:prstGeom prst="rect">
                      <a:avLst/>
                    </a:prstGeom>
                  </pic:spPr>
                </pic:pic>
              </a:graphicData>
            </a:graphic>
          </wp:inline>
        </w:drawing>
      </w:r>
    </w:p>
    <w:p w14:paraId="3B332B4A" w14:textId="77777777" w:rsidR="00730F13" w:rsidRPr="00730F13" w:rsidRDefault="00730F13" w:rsidP="00730F13">
      <w:pPr>
        <w:rPr>
          <w:rFonts w:ascii="Times New Roman" w:hAnsi="Times New Roman" w:cs="Times New Roman"/>
        </w:rPr>
      </w:pPr>
      <w:r w:rsidRPr="00730F13">
        <w:rPr>
          <w:rFonts w:ascii="Times New Roman" w:hAnsi="Times New Roman" w:cs="Times New Roman"/>
        </w:rPr>
        <w:t>We also perform genomic analysis of microbial isolates to explore their genetic composition, virulence determinants, antimicrobial resistance genes, and biofilm-associated regulatory pathways. Whole genome sequencing and comparative genomic analyses are used to identify important genetic elements associated with pathogenicity, adaptation, and resistance. This genomic information provides deeper insights into the molecular mechanisms that enable opportunistic pathogens to survive in hostile clinical environments and resist antimicrobial treatment.</w:t>
      </w:r>
    </w:p>
    <w:p w14:paraId="54168407" w14:textId="00A52231" w:rsidR="00730F13" w:rsidRPr="00730F13" w:rsidRDefault="00730F13" w:rsidP="00730F13">
      <w:pPr>
        <w:rPr>
          <w:rFonts w:ascii="Times New Roman" w:hAnsi="Times New Roman" w:cs="Times New Roman"/>
        </w:rPr>
      </w:pPr>
      <w:r w:rsidRPr="00730F13">
        <w:rPr>
          <w:rFonts w:ascii="Times New Roman" w:hAnsi="Times New Roman" w:cs="Times New Roman"/>
        </w:rPr>
        <w:t>In addition to in vitro studies, we are also involved in collaborative in vivo investigations using mouse models to evaluate microbial pathogenicity, host–pathogen interactions, and infection progression. These animal-based studies help bridge the gap between laboratory findings and clinical relevance by providing insights into microbial virulence, colonization behaviour, and treatment responses within a living system.</w:t>
      </w:r>
    </w:p>
    <w:p w14:paraId="7ED3F461" w14:textId="77777777" w:rsidR="00730F13" w:rsidRPr="00730F13" w:rsidRDefault="00730F13" w:rsidP="00730F13">
      <w:pPr>
        <w:rPr>
          <w:rFonts w:ascii="Times New Roman" w:hAnsi="Times New Roman" w:cs="Times New Roman"/>
        </w:rPr>
      </w:pPr>
      <w:r w:rsidRPr="00730F13">
        <w:rPr>
          <w:rFonts w:ascii="Times New Roman" w:hAnsi="Times New Roman" w:cs="Times New Roman"/>
        </w:rPr>
        <w:lastRenderedPageBreak/>
        <w:t>Overall, our work integrates clinical microbiology, antimicrobial resistance studies, biofilm biology, genomics, microscopy, and in vivo infection models to better understand opportunistic pathogens associated with immunocompromised patients. The combined multidisciplinary approach enables us to investigate both the molecular and physiological mechanisms underlying microbial persistence, virulence, and therapeutic resistance.</w:t>
      </w:r>
    </w:p>
    <w:p w14:paraId="282F3920" w14:textId="77777777" w:rsidR="0046494C" w:rsidRPr="00730F13" w:rsidRDefault="0046494C">
      <w:pPr>
        <w:rPr>
          <w:rFonts w:ascii="Times New Roman" w:hAnsi="Times New Roman" w:cs="Times New Roman"/>
        </w:rPr>
      </w:pPr>
    </w:p>
    <w:sectPr w:rsidR="0046494C" w:rsidRPr="00730F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EE2"/>
    <w:rsid w:val="00205105"/>
    <w:rsid w:val="0046494C"/>
    <w:rsid w:val="006E42D9"/>
    <w:rsid w:val="00730F13"/>
    <w:rsid w:val="008A76B2"/>
    <w:rsid w:val="008B21E5"/>
    <w:rsid w:val="00AE7EE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09FB5"/>
  <w15:chartTrackingRefBased/>
  <w15:docId w15:val="{FD83AF49-BBA1-4421-99D3-257975257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AE7EE2"/>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AE7EE2"/>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AE7EE2"/>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AE7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7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7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EE2"/>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AE7EE2"/>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AE7EE2"/>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AE7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7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7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EE2"/>
    <w:rPr>
      <w:rFonts w:eastAsiaTheme="majorEastAsia" w:cstheme="majorBidi"/>
      <w:color w:val="272727" w:themeColor="text1" w:themeTint="D8"/>
    </w:rPr>
  </w:style>
  <w:style w:type="paragraph" w:styleId="Title">
    <w:name w:val="Title"/>
    <w:basedOn w:val="Normal"/>
    <w:next w:val="Normal"/>
    <w:link w:val="TitleChar"/>
    <w:uiPriority w:val="10"/>
    <w:qFormat/>
    <w:rsid w:val="00AE7EE2"/>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AE7EE2"/>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AE7EE2"/>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AE7EE2"/>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AE7EE2"/>
    <w:pPr>
      <w:spacing w:before="160"/>
      <w:jc w:val="center"/>
    </w:pPr>
    <w:rPr>
      <w:i/>
      <w:iCs/>
      <w:color w:val="404040" w:themeColor="text1" w:themeTint="BF"/>
    </w:rPr>
  </w:style>
  <w:style w:type="character" w:customStyle="1" w:styleId="QuoteChar">
    <w:name w:val="Quote Char"/>
    <w:basedOn w:val="DefaultParagraphFont"/>
    <w:link w:val="Quote"/>
    <w:uiPriority w:val="29"/>
    <w:rsid w:val="00AE7EE2"/>
    <w:rPr>
      <w:rFonts w:cs="Mangal"/>
      <w:i/>
      <w:iCs/>
      <w:color w:val="404040" w:themeColor="text1" w:themeTint="BF"/>
    </w:rPr>
  </w:style>
  <w:style w:type="paragraph" w:styleId="ListParagraph">
    <w:name w:val="List Paragraph"/>
    <w:basedOn w:val="Normal"/>
    <w:uiPriority w:val="34"/>
    <w:qFormat/>
    <w:rsid w:val="00AE7EE2"/>
    <w:pPr>
      <w:ind w:left="720"/>
      <w:contextualSpacing/>
    </w:pPr>
  </w:style>
  <w:style w:type="character" w:styleId="IntenseEmphasis">
    <w:name w:val="Intense Emphasis"/>
    <w:basedOn w:val="DefaultParagraphFont"/>
    <w:uiPriority w:val="21"/>
    <w:qFormat/>
    <w:rsid w:val="00AE7EE2"/>
    <w:rPr>
      <w:i/>
      <w:iCs/>
      <w:color w:val="2F5496" w:themeColor="accent1" w:themeShade="BF"/>
    </w:rPr>
  </w:style>
  <w:style w:type="paragraph" w:styleId="IntenseQuote">
    <w:name w:val="Intense Quote"/>
    <w:basedOn w:val="Normal"/>
    <w:next w:val="Normal"/>
    <w:link w:val="IntenseQuoteChar"/>
    <w:uiPriority w:val="30"/>
    <w:qFormat/>
    <w:rsid w:val="00AE7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7EE2"/>
    <w:rPr>
      <w:rFonts w:cs="Mangal"/>
      <w:i/>
      <w:iCs/>
      <w:color w:val="2F5496" w:themeColor="accent1" w:themeShade="BF"/>
    </w:rPr>
  </w:style>
  <w:style w:type="character" w:styleId="IntenseReference">
    <w:name w:val="Intense Reference"/>
    <w:basedOn w:val="DefaultParagraphFont"/>
    <w:uiPriority w:val="32"/>
    <w:qFormat/>
    <w:rsid w:val="00AE7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576</Words>
  <Characters>3289</Characters>
  <Application>Microsoft Office Word</Application>
  <DocSecurity>0</DocSecurity>
  <Lines>27</Lines>
  <Paragraphs>7</Paragraphs>
  <ScaleCrop>false</ScaleCrop>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Chirag Saini</dc:creator>
  <cp:keywords/>
  <dc:description/>
  <cp:lastModifiedBy>Chirag Saini</cp:lastModifiedBy>
  <cp:revision>3</cp:revision>
  <dcterms:created xsi:type="dcterms:W3CDTF">2026-05-13T04:24:00Z</dcterms:created>
  <dcterms:modified xsi:type="dcterms:W3CDTF">2026-05-13T04:39:00Z</dcterms:modified>
</cp:coreProperties>
</file>