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3C858" w14:textId="77777777" w:rsidR="00E23449" w:rsidRDefault="00E23449" w:rsidP="00E97209">
      <w:pPr>
        <w:rPr>
          <w:rFonts w:ascii="Times New Roman" w:hAnsi="Times New Roman" w:cs="Times New Roman"/>
        </w:rPr>
      </w:pPr>
    </w:p>
    <w:p w14:paraId="5AECADDD" w14:textId="7FA9EA70" w:rsidR="00E97209" w:rsidRPr="00E97209" w:rsidRDefault="00E97209" w:rsidP="00E97209">
      <w:pPr>
        <w:rPr>
          <w:rFonts w:ascii="Times New Roman" w:hAnsi="Times New Roman" w:cs="Times New Roman"/>
        </w:rPr>
      </w:pPr>
      <w:r w:rsidRPr="00E97209">
        <w:rPr>
          <w:rFonts w:ascii="Times New Roman" w:hAnsi="Times New Roman" w:cs="Times New Roman"/>
        </w:rPr>
        <w:t>Background and Introduction</w:t>
      </w:r>
    </w:p>
    <w:p w14:paraId="0101C037" w14:textId="3057CB63" w:rsidR="00E97209" w:rsidRPr="00E97209" w:rsidRDefault="00E97209" w:rsidP="00E97209">
      <w:pPr>
        <w:rPr>
          <w:rFonts w:ascii="Times New Roman" w:hAnsi="Times New Roman" w:cs="Times New Roman"/>
        </w:rPr>
      </w:pPr>
      <w:r w:rsidRPr="00E97209">
        <w:rPr>
          <w:rFonts w:ascii="Times New Roman" w:hAnsi="Times New Roman" w:cs="Times New Roman"/>
        </w:rPr>
        <w:t>Extended-spectrum β-lactamases (ESBLs) have emerged as one of the most consequential antimicrobial resistance mechanisms of the 21st century. Among Class A β-</w:t>
      </w:r>
      <w:proofErr w:type="gramStart"/>
      <w:r w:rsidRPr="00E97209">
        <w:rPr>
          <w:rFonts w:ascii="Times New Roman" w:hAnsi="Times New Roman" w:cs="Times New Roman"/>
        </w:rPr>
        <w:t>lactamases  which</w:t>
      </w:r>
      <w:proofErr w:type="gramEnd"/>
      <w:r w:rsidRPr="00E97209">
        <w:rPr>
          <w:rFonts w:ascii="Times New Roman" w:hAnsi="Times New Roman" w:cs="Times New Roman"/>
        </w:rPr>
        <w:t xml:space="preserve"> include TEM, SHV, CTX-M, VEB, and GES families CTX-M has risen to global dominance, with over 450 variants documented in the Beta-Lactamase Database (BLDB). The CTX-M designation reflects both its substrate profile (cefotaxime hydrolysis) and its geographic origin (Munich), where the first isolate was recovered from the ear of a 4-month-old child with otitis media. Over the last two decades, bla</w:t>
      </w:r>
      <w:r w:rsidRPr="00DD12F0">
        <w:rPr>
          <w:rFonts w:ascii="Times New Roman" w:hAnsi="Times New Roman" w:cs="Times New Roman"/>
          <w:vertAlign w:val="subscript"/>
        </w:rPr>
        <w:t>CTX-M-15</w:t>
      </w:r>
      <w:r w:rsidRPr="00E97209">
        <w:rPr>
          <w:rFonts w:ascii="Times New Roman" w:hAnsi="Times New Roman" w:cs="Times New Roman"/>
        </w:rPr>
        <w:t xml:space="preserve"> and bla</w:t>
      </w:r>
      <w:r w:rsidRPr="00DD12F0">
        <w:rPr>
          <w:rFonts w:ascii="Times New Roman" w:hAnsi="Times New Roman" w:cs="Times New Roman"/>
          <w:vertAlign w:val="subscript"/>
        </w:rPr>
        <w:t>CTX-M-14</w:t>
      </w:r>
      <w:r w:rsidRPr="00E97209">
        <w:rPr>
          <w:rFonts w:ascii="Times New Roman" w:hAnsi="Times New Roman" w:cs="Times New Roman"/>
        </w:rPr>
        <w:t xml:space="preserve"> have displaced other genotypes and become the predominant CTX-M alleles worldwide.</w:t>
      </w:r>
    </w:p>
    <w:p w14:paraId="3B37A279" w14:textId="05C9D47B" w:rsidR="00E97209" w:rsidRPr="00E97209" w:rsidRDefault="00E97209" w:rsidP="00E97209">
      <w:pPr>
        <w:rPr>
          <w:rFonts w:ascii="Times New Roman" w:hAnsi="Times New Roman" w:cs="Times New Roman"/>
        </w:rPr>
      </w:pPr>
      <w:r w:rsidRPr="00E97209">
        <w:rPr>
          <w:rFonts w:ascii="Times New Roman" w:hAnsi="Times New Roman" w:cs="Times New Roman"/>
        </w:rPr>
        <w:t xml:space="preserve"> Historical</w:t>
      </w:r>
      <w:r w:rsidR="00C87FB9">
        <w:rPr>
          <w:rFonts w:ascii="Times New Roman" w:hAnsi="Times New Roman" w:cs="Times New Roman"/>
        </w:rPr>
        <w:t xml:space="preserve"> Aspect</w:t>
      </w:r>
      <w:r w:rsidRPr="00E97209">
        <w:rPr>
          <w:rFonts w:ascii="Times New Roman" w:hAnsi="Times New Roman" w:cs="Times New Roman"/>
        </w:rPr>
        <w:t xml:space="preserve"> First Discovery</w:t>
      </w:r>
    </w:p>
    <w:p w14:paraId="7ADA9411" w14:textId="2C99F5F5" w:rsidR="00E97209" w:rsidRPr="00E97209" w:rsidRDefault="00E97209" w:rsidP="00E97209">
      <w:pPr>
        <w:rPr>
          <w:rFonts w:ascii="Times New Roman" w:hAnsi="Times New Roman" w:cs="Times New Roman"/>
        </w:rPr>
      </w:pPr>
      <w:r w:rsidRPr="00E97209">
        <w:rPr>
          <w:rFonts w:ascii="Times New Roman" w:hAnsi="Times New Roman" w:cs="Times New Roman"/>
        </w:rPr>
        <w:t xml:space="preserve">The founding clinical event of CTX-M history </w:t>
      </w:r>
      <w:proofErr w:type="spellStart"/>
      <w:r w:rsidRPr="00E97209">
        <w:rPr>
          <w:rFonts w:ascii="Times New Roman" w:hAnsi="Times New Roman" w:cs="Times New Roman"/>
        </w:rPr>
        <w:t>centers</w:t>
      </w:r>
      <w:proofErr w:type="spellEnd"/>
      <w:r w:rsidRPr="00E97209">
        <w:rPr>
          <w:rFonts w:ascii="Times New Roman" w:hAnsi="Times New Roman" w:cs="Times New Roman"/>
        </w:rPr>
        <w:t xml:space="preserve"> on a cefotaxime-resistant </w:t>
      </w:r>
      <w:r w:rsidRPr="00DD12F0">
        <w:rPr>
          <w:rFonts w:ascii="Times New Roman" w:hAnsi="Times New Roman" w:cs="Times New Roman"/>
          <w:i/>
          <w:iCs/>
        </w:rPr>
        <w:t>Escherichia coli</w:t>
      </w:r>
      <w:r w:rsidRPr="00E97209">
        <w:rPr>
          <w:rFonts w:ascii="Times New Roman" w:hAnsi="Times New Roman" w:cs="Times New Roman"/>
        </w:rPr>
        <w:t xml:space="preserve"> isolate recovered in Germany in 1989. This isolate was phenotypically distinct from TEM- and SHV-type ESBL producers, displaying a markedly enhanced capacity to </w:t>
      </w:r>
      <w:proofErr w:type="spellStart"/>
      <w:r w:rsidRPr="00E97209">
        <w:rPr>
          <w:rFonts w:ascii="Times New Roman" w:hAnsi="Times New Roman" w:cs="Times New Roman"/>
        </w:rPr>
        <w:t>hydrolyze</w:t>
      </w:r>
      <w:proofErr w:type="spellEnd"/>
      <w:r w:rsidRPr="00E97209">
        <w:rPr>
          <w:rFonts w:ascii="Times New Roman" w:hAnsi="Times New Roman" w:cs="Times New Roman"/>
        </w:rPr>
        <w:t xml:space="preserve"> cefotaxime over ceftazidime</w:t>
      </w:r>
      <w:r w:rsidR="00DD12F0">
        <w:rPr>
          <w:rFonts w:ascii="Times New Roman" w:hAnsi="Times New Roman" w:cs="Times New Roman"/>
        </w:rPr>
        <w:t xml:space="preserve"> </w:t>
      </w:r>
      <w:r w:rsidRPr="00E97209">
        <w:rPr>
          <w:rFonts w:ascii="Times New Roman" w:hAnsi="Times New Roman" w:cs="Times New Roman"/>
        </w:rPr>
        <w:t>a substrate preference that would define the entire CTX-M family. Concurrent, independent emergence was simultaneously noted in France and South America, pointing to a geographically distributed yet biochemically convergent resistance evolution.</w:t>
      </w:r>
    </w:p>
    <w:p w14:paraId="2E6F3E8C"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Epidemiological Timeline</w:t>
      </w:r>
    </w:p>
    <w:p w14:paraId="5E6C6F20" w14:textId="2EC29F4D" w:rsidR="00E97209" w:rsidRPr="00E97209" w:rsidRDefault="00E97209" w:rsidP="00E97209">
      <w:pPr>
        <w:rPr>
          <w:rFonts w:ascii="Times New Roman" w:hAnsi="Times New Roman" w:cs="Times New Roman"/>
        </w:rPr>
      </w:pPr>
      <w:r w:rsidRPr="00E97209">
        <w:rPr>
          <w:rFonts w:ascii="Times New Roman" w:hAnsi="Times New Roman" w:cs="Times New Roman"/>
        </w:rPr>
        <w:t>Based on the epidemiological record, three distinct phases of CTX-M emergence can be defined:</w:t>
      </w:r>
    </w:p>
    <w:tbl>
      <w:tblPr>
        <w:tblW w:w="5000" w:type="pct"/>
        <w:tblCellMar>
          <w:top w:w="15" w:type="dxa"/>
          <w:left w:w="15" w:type="dxa"/>
          <w:bottom w:w="15" w:type="dxa"/>
          <w:right w:w="15" w:type="dxa"/>
        </w:tblCellMar>
        <w:tblLook w:val="04A0" w:firstRow="1" w:lastRow="0" w:firstColumn="1" w:lastColumn="0" w:noHBand="0" w:noVBand="1"/>
      </w:tblPr>
      <w:tblGrid>
        <w:gridCol w:w="937"/>
        <w:gridCol w:w="1331"/>
        <w:gridCol w:w="6742"/>
      </w:tblGrid>
      <w:tr w:rsidR="00E97209" w:rsidRPr="00E97209" w14:paraId="73DA7F61" w14:textId="77777777" w:rsidTr="00E97209">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42C1DF5" w14:textId="77777777" w:rsidR="00E97209" w:rsidRPr="00E97209" w:rsidRDefault="00E97209" w:rsidP="00E97209">
            <w:pPr>
              <w:rPr>
                <w:rFonts w:ascii="Times New Roman" w:hAnsi="Times New Roman" w:cs="Times New Roman"/>
                <w:b/>
                <w:bCs/>
              </w:rPr>
            </w:pPr>
            <w:r w:rsidRPr="00E97209">
              <w:rPr>
                <w:rFonts w:ascii="Times New Roman" w:hAnsi="Times New Roman" w:cs="Times New Roman"/>
                <w:b/>
                <w:bCs/>
              </w:rPr>
              <w:t>Phase</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7B85F234" w14:textId="77777777" w:rsidR="00E97209" w:rsidRPr="00E97209" w:rsidRDefault="00E97209" w:rsidP="00E97209">
            <w:pPr>
              <w:rPr>
                <w:rFonts w:ascii="Times New Roman" w:hAnsi="Times New Roman" w:cs="Times New Roman"/>
                <w:b/>
                <w:bCs/>
              </w:rPr>
            </w:pPr>
            <w:r w:rsidRPr="00E97209">
              <w:rPr>
                <w:rFonts w:ascii="Times New Roman" w:hAnsi="Times New Roman" w:cs="Times New Roman"/>
                <w:b/>
                <w:bCs/>
              </w:rPr>
              <w:t>Period</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CA9A98D" w14:textId="77777777" w:rsidR="00E97209" w:rsidRPr="00E97209" w:rsidRDefault="00E97209" w:rsidP="00E97209">
            <w:pPr>
              <w:rPr>
                <w:rFonts w:ascii="Times New Roman" w:hAnsi="Times New Roman" w:cs="Times New Roman"/>
                <w:b/>
                <w:bCs/>
              </w:rPr>
            </w:pPr>
            <w:r w:rsidRPr="00E97209">
              <w:rPr>
                <w:rFonts w:ascii="Times New Roman" w:hAnsi="Times New Roman" w:cs="Times New Roman"/>
                <w:b/>
                <w:bCs/>
              </w:rPr>
              <w:t>Key Events</w:t>
            </w:r>
          </w:p>
        </w:tc>
      </w:tr>
      <w:tr w:rsidR="00E97209" w:rsidRPr="00E97209" w14:paraId="6EE2D3FF" w14:textId="77777777" w:rsidTr="00E97209">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55A16E" w14:textId="77777777" w:rsidR="00E97209" w:rsidRPr="00E97209" w:rsidRDefault="00E97209" w:rsidP="00E97209">
            <w:pPr>
              <w:rPr>
                <w:rFonts w:ascii="Times New Roman" w:hAnsi="Times New Roman" w:cs="Times New Roman"/>
              </w:rPr>
            </w:pPr>
            <w:r w:rsidRPr="00E97209">
              <w:rPr>
                <w:rFonts w:ascii="Times New Roman" w:hAnsi="Times New Roman" w:cs="Times New Roman"/>
                <w:b/>
                <w:bCs/>
              </w:rPr>
              <w:t>Phase 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1EAFBD"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Mid-1990s</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4890AC" w14:textId="34F645A8" w:rsidR="00E97209" w:rsidRPr="00E97209" w:rsidRDefault="00E97209" w:rsidP="00E97209">
            <w:pPr>
              <w:rPr>
                <w:rFonts w:ascii="Times New Roman" w:hAnsi="Times New Roman" w:cs="Times New Roman"/>
              </w:rPr>
            </w:pPr>
            <w:r w:rsidRPr="00E97209">
              <w:rPr>
                <w:rFonts w:ascii="Times New Roman" w:hAnsi="Times New Roman" w:cs="Times New Roman"/>
              </w:rPr>
              <w:t>Sporadic emergence in distant geographic areas (Europe, South America, Japan)</w:t>
            </w:r>
            <w:r>
              <w:rPr>
                <w:rFonts w:ascii="Times New Roman" w:hAnsi="Times New Roman" w:cs="Times New Roman"/>
              </w:rPr>
              <w:t>.</w:t>
            </w:r>
          </w:p>
        </w:tc>
      </w:tr>
      <w:tr w:rsidR="00E97209" w:rsidRPr="00E97209" w14:paraId="28ADE5FB" w14:textId="77777777" w:rsidTr="00E97209">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EBE2B6" w14:textId="77777777" w:rsidR="00E97209" w:rsidRPr="00E97209" w:rsidRDefault="00E97209" w:rsidP="00E97209">
            <w:pPr>
              <w:rPr>
                <w:rFonts w:ascii="Times New Roman" w:hAnsi="Times New Roman" w:cs="Times New Roman"/>
              </w:rPr>
            </w:pPr>
            <w:r w:rsidRPr="00E97209">
              <w:rPr>
                <w:rFonts w:ascii="Times New Roman" w:hAnsi="Times New Roman" w:cs="Times New Roman"/>
                <w:b/>
                <w:bCs/>
              </w:rPr>
              <w:t>Phase 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A652A60" w14:textId="03921B9F" w:rsidR="00E97209" w:rsidRPr="00E97209" w:rsidRDefault="00E97209" w:rsidP="00E97209">
            <w:pPr>
              <w:rPr>
                <w:rFonts w:ascii="Times New Roman" w:hAnsi="Times New Roman" w:cs="Times New Roman"/>
              </w:rPr>
            </w:pPr>
            <w:r w:rsidRPr="00E97209">
              <w:rPr>
                <w:rFonts w:ascii="Times New Roman" w:hAnsi="Times New Roman" w:cs="Times New Roman"/>
              </w:rPr>
              <w:t>1994</w:t>
            </w:r>
            <w:r w:rsidR="00C87FB9">
              <w:rPr>
                <w:rFonts w:ascii="Times New Roman" w:hAnsi="Times New Roman" w:cs="Times New Roman"/>
              </w:rPr>
              <w:t>-</w:t>
            </w:r>
            <w:r w:rsidRPr="00E97209">
              <w:rPr>
                <w:rFonts w:ascii="Times New Roman" w:hAnsi="Times New Roman" w:cs="Times New Roman"/>
              </w:rPr>
              <w:t>2000</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175893" w14:textId="79F1311E" w:rsidR="00E97209" w:rsidRPr="00E97209" w:rsidRDefault="00E97209" w:rsidP="00E97209">
            <w:pPr>
              <w:rPr>
                <w:rFonts w:ascii="Times New Roman" w:hAnsi="Times New Roman" w:cs="Times New Roman"/>
              </w:rPr>
            </w:pPr>
            <w:r w:rsidRPr="00E97209">
              <w:rPr>
                <w:rFonts w:ascii="Times New Roman" w:hAnsi="Times New Roman" w:cs="Times New Roman"/>
              </w:rPr>
              <w:t xml:space="preserve">Rise of CTX-M-3, CTX-M-9, CTX-M-14, and CTX-M-15 as dominant </w:t>
            </w:r>
            <w:proofErr w:type="gramStart"/>
            <w:r w:rsidRPr="00E97209">
              <w:rPr>
                <w:rFonts w:ascii="Times New Roman" w:hAnsi="Times New Roman" w:cs="Times New Roman"/>
              </w:rPr>
              <w:t xml:space="preserve">variants </w:t>
            </w:r>
            <w:r>
              <w:rPr>
                <w:rFonts w:ascii="Times New Roman" w:hAnsi="Times New Roman" w:cs="Times New Roman"/>
              </w:rPr>
              <w:t>.</w:t>
            </w:r>
            <w:proofErr w:type="gramEnd"/>
          </w:p>
        </w:tc>
      </w:tr>
      <w:tr w:rsidR="00E97209" w:rsidRPr="00E97209" w14:paraId="4639A10B" w14:textId="77777777" w:rsidTr="00E97209">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25C9B36" w14:textId="77777777" w:rsidR="00E97209" w:rsidRPr="00E97209" w:rsidRDefault="00E97209" w:rsidP="00E97209">
            <w:pPr>
              <w:rPr>
                <w:rFonts w:ascii="Times New Roman" w:hAnsi="Times New Roman" w:cs="Times New Roman"/>
              </w:rPr>
            </w:pPr>
            <w:r w:rsidRPr="00E97209">
              <w:rPr>
                <w:rFonts w:ascii="Times New Roman" w:hAnsi="Times New Roman" w:cs="Times New Roman"/>
                <w:b/>
                <w:bCs/>
              </w:rPr>
              <w:t>Phase 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BB35F8" w14:textId="5342764B" w:rsidR="00E97209" w:rsidRPr="00E97209" w:rsidRDefault="00E97209" w:rsidP="00E97209">
            <w:pPr>
              <w:rPr>
                <w:rFonts w:ascii="Times New Roman" w:hAnsi="Times New Roman" w:cs="Times New Roman"/>
              </w:rPr>
            </w:pPr>
            <w:r w:rsidRPr="00E97209">
              <w:rPr>
                <w:rFonts w:ascii="Times New Roman" w:hAnsi="Times New Roman" w:cs="Times New Roman"/>
              </w:rPr>
              <w:t>2000</w:t>
            </w:r>
            <w:r w:rsidR="00C87FB9">
              <w:rPr>
                <w:rFonts w:ascii="Times New Roman" w:hAnsi="Times New Roman" w:cs="Times New Roman"/>
              </w:rPr>
              <w:t>-</w:t>
            </w:r>
            <w:r w:rsidRPr="00E97209">
              <w:rPr>
                <w:rFonts w:ascii="Times New Roman" w:hAnsi="Times New Roman" w:cs="Times New Roman"/>
              </w:rPr>
              <w:t>present</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122C49" w14:textId="26ED5561" w:rsidR="00E97209" w:rsidRPr="00E97209" w:rsidRDefault="00E97209" w:rsidP="00E97209">
            <w:pPr>
              <w:rPr>
                <w:rFonts w:ascii="Times New Roman" w:hAnsi="Times New Roman" w:cs="Times New Roman"/>
              </w:rPr>
            </w:pPr>
            <w:r w:rsidRPr="00E97209">
              <w:rPr>
                <w:rFonts w:ascii="Times New Roman" w:hAnsi="Times New Roman" w:cs="Times New Roman"/>
              </w:rPr>
              <w:t>Universal dissemination; now the most widespread ESBL globally</w:t>
            </w:r>
            <w:r>
              <w:rPr>
                <w:rFonts w:ascii="Times New Roman" w:hAnsi="Times New Roman" w:cs="Times New Roman"/>
              </w:rPr>
              <w:t>.</w:t>
            </w:r>
          </w:p>
        </w:tc>
      </w:tr>
    </w:tbl>
    <w:p w14:paraId="65026E9D" w14:textId="707F6D64" w:rsidR="00E97209" w:rsidRPr="00E97209" w:rsidRDefault="00E97209" w:rsidP="00E97209">
      <w:pPr>
        <w:rPr>
          <w:rFonts w:ascii="Times New Roman" w:hAnsi="Times New Roman" w:cs="Times New Roman"/>
        </w:rPr>
      </w:pPr>
      <w:r w:rsidRPr="00E97209">
        <w:rPr>
          <w:rFonts w:ascii="Times New Roman" w:hAnsi="Times New Roman" w:cs="Times New Roman"/>
        </w:rPr>
        <w:t>The hot spots for early emergence Central Europe, South America, and Japan likely reflect selective pressure from high antibiotic consumption rather than random geographic chance. ESBL prevalence has risen significantly across all WHO regions, with a statistically significant upward trend in developing countries (R² = 0.814).</w:t>
      </w:r>
    </w:p>
    <w:p w14:paraId="295A76F2"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Molecular Origin and Gene Mobilization</w:t>
      </w:r>
    </w:p>
    <w:p w14:paraId="0E91E9B3" w14:textId="7E2FD604" w:rsidR="00E97209" w:rsidRPr="00E97209" w:rsidRDefault="00E97209" w:rsidP="00C87FB9">
      <w:pPr>
        <w:spacing w:after="100"/>
        <w:rPr>
          <w:rFonts w:ascii="Times New Roman" w:hAnsi="Times New Roman" w:cs="Times New Roman"/>
        </w:rPr>
      </w:pPr>
      <w:r w:rsidRPr="00E97209">
        <w:rPr>
          <w:rFonts w:ascii="Times New Roman" w:hAnsi="Times New Roman" w:cs="Times New Roman"/>
        </w:rPr>
        <w:t xml:space="preserve">A defining feature of CTX-M biology is its non-hospital, environmental origin. The </w:t>
      </w:r>
      <w:proofErr w:type="spellStart"/>
      <w:r w:rsidRPr="00E97209">
        <w:rPr>
          <w:rFonts w:ascii="Times New Roman" w:hAnsi="Times New Roman" w:cs="Times New Roman"/>
        </w:rPr>
        <w:t>bla~CTX-M</w:t>
      </w:r>
      <w:proofErr w:type="spellEnd"/>
      <w:r w:rsidRPr="00E97209">
        <w:rPr>
          <w:rFonts w:ascii="Times New Roman" w:hAnsi="Times New Roman" w:cs="Times New Roman"/>
        </w:rPr>
        <w:t xml:space="preserve">~ genes are chromosomally encoded in </w:t>
      </w:r>
      <w:proofErr w:type="spellStart"/>
      <w:r w:rsidRPr="00E97209">
        <w:rPr>
          <w:rFonts w:ascii="Times New Roman" w:hAnsi="Times New Roman" w:cs="Times New Roman"/>
        </w:rPr>
        <w:t>Kluyvera</w:t>
      </w:r>
      <w:proofErr w:type="spellEnd"/>
      <w:r w:rsidRPr="00E97209">
        <w:rPr>
          <w:rFonts w:ascii="Times New Roman" w:hAnsi="Times New Roman" w:cs="Times New Roman"/>
        </w:rPr>
        <w:t xml:space="preserve"> spp. environmental soil bacteria and were mobilized into clinical pathogens through insertion sequences. The insertion element ISEcp1 (ISEcp1B) plays the primary role: it mobilizes the downstream </w:t>
      </w:r>
      <w:proofErr w:type="spellStart"/>
      <w:r w:rsidRPr="00E97209">
        <w:rPr>
          <w:rFonts w:ascii="Times New Roman" w:hAnsi="Times New Roman" w:cs="Times New Roman"/>
        </w:rPr>
        <w:t>bla~CTX-M</w:t>
      </w:r>
      <w:proofErr w:type="spellEnd"/>
      <w:r w:rsidRPr="00E97209">
        <w:rPr>
          <w:rFonts w:ascii="Times New Roman" w:hAnsi="Times New Roman" w:cs="Times New Roman"/>
        </w:rPr>
        <w:t xml:space="preserve">~ gene via a one-ended transposition mechanism while simultaneously providing strong upstream promoter sequences that drive high-level expression. A secondary element, ISCR1 (formerly orf513/CR1), further facilitates gene capture within complex class 1 </w:t>
      </w:r>
      <w:proofErr w:type="spellStart"/>
      <w:r w:rsidRPr="00E97209">
        <w:rPr>
          <w:rFonts w:ascii="Times New Roman" w:hAnsi="Times New Roman" w:cs="Times New Roman"/>
        </w:rPr>
        <w:t>integrons</w:t>
      </w:r>
      <w:proofErr w:type="spellEnd"/>
      <w:r w:rsidRPr="00E97209">
        <w:rPr>
          <w:rFonts w:ascii="Times New Roman" w:hAnsi="Times New Roman" w:cs="Times New Roman"/>
        </w:rPr>
        <w:t xml:space="preserve"> and transposons.</w:t>
      </w:r>
    </w:p>
    <w:p w14:paraId="0EBF2BF5" w14:textId="77777777" w:rsidR="00E97209" w:rsidRPr="00E97209" w:rsidRDefault="00E97209" w:rsidP="00E97209">
      <w:pPr>
        <w:rPr>
          <w:rFonts w:ascii="Times New Roman" w:hAnsi="Times New Roman" w:cs="Times New Roman"/>
        </w:rPr>
      </w:pPr>
    </w:p>
    <w:p w14:paraId="1CF16D81" w14:textId="109584AB" w:rsidR="00E97209" w:rsidRPr="00E97209" w:rsidRDefault="00E97209" w:rsidP="00E97209">
      <w:pPr>
        <w:rPr>
          <w:rFonts w:ascii="Times New Roman" w:hAnsi="Times New Roman" w:cs="Times New Roman"/>
        </w:rPr>
      </w:pPr>
      <w:r w:rsidRPr="00E97209">
        <w:rPr>
          <w:rFonts w:ascii="Times New Roman" w:hAnsi="Times New Roman" w:cs="Times New Roman"/>
        </w:rPr>
        <w:lastRenderedPageBreak/>
        <w:t>Crucially, this mobilization event has not occurred once but at least nine times independently in silico, generating the different CTX-M clusters:</w:t>
      </w:r>
    </w:p>
    <w:p w14:paraId="054CC63B" w14:textId="530F4C04" w:rsidR="00E97209" w:rsidRPr="00E97209" w:rsidRDefault="00E97209" w:rsidP="00E97209">
      <w:pPr>
        <w:rPr>
          <w:rFonts w:ascii="Times New Roman" w:hAnsi="Times New Roman" w:cs="Times New Roman"/>
        </w:rPr>
      </w:pPr>
      <w:r w:rsidRPr="00E97209">
        <w:rPr>
          <w:rFonts w:ascii="Times New Roman" w:hAnsi="Times New Roman" w:cs="Times New Roman"/>
        </w:rPr>
        <w:t xml:space="preserve">CTX-M-1 cluster: mobilized 3 times from </w:t>
      </w:r>
      <w:proofErr w:type="spellStart"/>
      <w:r w:rsidRPr="00E97209">
        <w:rPr>
          <w:rFonts w:ascii="Times New Roman" w:hAnsi="Times New Roman" w:cs="Times New Roman"/>
        </w:rPr>
        <w:t>Kluyvera</w:t>
      </w:r>
      <w:proofErr w:type="spellEnd"/>
    </w:p>
    <w:p w14:paraId="385B78A4" w14:textId="0CE422A1" w:rsidR="00E97209" w:rsidRPr="00E97209" w:rsidRDefault="00E97209" w:rsidP="00E97209">
      <w:pPr>
        <w:rPr>
          <w:rFonts w:ascii="Times New Roman" w:hAnsi="Times New Roman" w:cs="Times New Roman"/>
        </w:rPr>
      </w:pPr>
      <w:r w:rsidRPr="00E97209">
        <w:rPr>
          <w:rFonts w:ascii="Times New Roman" w:hAnsi="Times New Roman" w:cs="Times New Roman"/>
        </w:rPr>
        <w:t>CTX-M-2 cluster: 2 times (</w:t>
      </w:r>
      <w:proofErr w:type="spellStart"/>
      <w:r w:rsidRPr="00E97209">
        <w:rPr>
          <w:rFonts w:ascii="Times New Roman" w:hAnsi="Times New Roman" w:cs="Times New Roman"/>
        </w:rPr>
        <w:t>Kluyvera</w:t>
      </w:r>
      <w:proofErr w:type="spellEnd"/>
      <w:r w:rsidRPr="00E97209">
        <w:rPr>
          <w:rFonts w:ascii="Times New Roman" w:hAnsi="Times New Roman" w:cs="Times New Roman"/>
        </w:rPr>
        <w:t xml:space="preserve"> </w:t>
      </w:r>
      <w:proofErr w:type="spellStart"/>
      <w:r w:rsidRPr="00E97209">
        <w:rPr>
          <w:rFonts w:ascii="Times New Roman" w:hAnsi="Times New Roman" w:cs="Times New Roman"/>
        </w:rPr>
        <w:t>ascorbata</w:t>
      </w:r>
      <w:proofErr w:type="spellEnd"/>
      <w:r w:rsidRPr="00E97209">
        <w:rPr>
          <w:rFonts w:ascii="Times New Roman" w:hAnsi="Times New Roman" w:cs="Times New Roman"/>
        </w:rPr>
        <w:t>)</w:t>
      </w:r>
    </w:p>
    <w:p w14:paraId="554CAB8B" w14:textId="2711208E" w:rsidR="00E97209" w:rsidRPr="00E97209" w:rsidRDefault="00E97209" w:rsidP="00E97209">
      <w:pPr>
        <w:rPr>
          <w:rFonts w:ascii="Times New Roman" w:hAnsi="Times New Roman" w:cs="Times New Roman"/>
        </w:rPr>
      </w:pPr>
      <w:r w:rsidRPr="00E97209">
        <w:rPr>
          <w:rFonts w:ascii="Times New Roman" w:hAnsi="Times New Roman" w:cs="Times New Roman"/>
        </w:rPr>
        <w:t>CTX-M-9 cluster: 2 times</w:t>
      </w:r>
    </w:p>
    <w:p w14:paraId="1E89EEB1" w14:textId="173CBFC4" w:rsidR="00E97209" w:rsidRPr="00E97209" w:rsidRDefault="00E97209" w:rsidP="00E97209">
      <w:pPr>
        <w:rPr>
          <w:rFonts w:ascii="Times New Roman" w:hAnsi="Times New Roman" w:cs="Times New Roman"/>
        </w:rPr>
      </w:pPr>
      <w:r w:rsidRPr="00E97209">
        <w:rPr>
          <w:rFonts w:ascii="Times New Roman" w:hAnsi="Times New Roman" w:cs="Times New Roman"/>
        </w:rPr>
        <w:t>CTX-M-8 and CTX-M-25 clusters: 1 time each</w:t>
      </w:r>
    </w:p>
    <w:p w14:paraId="2F858D11" w14:textId="770BB572" w:rsidR="00E97209" w:rsidRPr="00E97209" w:rsidRDefault="00E97209" w:rsidP="00E97209">
      <w:pPr>
        <w:rPr>
          <w:rFonts w:ascii="Times New Roman" w:hAnsi="Times New Roman" w:cs="Times New Roman"/>
        </w:rPr>
      </w:pPr>
      <w:r w:rsidRPr="00E97209">
        <w:rPr>
          <w:rFonts w:ascii="Times New Roman" w:hAnsi="Times New Roman" w:cs="Times New Roman"/>
        </w:rPr>
        <w:t>Furthermore, subinhibitory concentrations of β-lactam antibiotics such as ceftazidime can induce ISEcp1B-mediated transposition at frequencies up to 100-fold higher than baseline, suggesting that clinical antibiotic use directly drives gene mobilization events</w:t>
      </w:r>
      <w:r>
        <w:rPr>
          <w:rFonts w:ascii="Times New Roman" w:hAnsi="Times New Roman" w:cs="Times New Roman"/>
        </w:rPr>
        <w:t>.</w:t>
      </w:r>
    </w:p>
    <w:p w14:paraId="31817FB2"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Classification and Structural Diversity</w:t>
      </w:r>
    </w:p>
    <w:p w14:paraId="100374B8" w14:textId="2AA9FE74" w:rsidR="00E97209" w:rsidRPr="00E97209" w:rsidRDefault="00E97209" w:rsidP="00E97209">
      <w:pPr>
        <w:rPr>
          <w:rFonts w:ascii="Times New Roman" w:hAnsi="Times New Roman" w:cs="Times New Roman"/>
        </w:rPr>
      </w:pPr>
      <w:r w:rsidRPr="00E97209">
        <w:rPr>
          <w:rFonts w:ascii="Times New Roman" w:hAnsi="Times New Roman" w:cs="Times New Roman"/>
        </w:rPr>
        <w:t>CTX-M enzymes are classified into six major subfamilies based on amino acid sequence identity:</w:t>
      </w:r>
    </w:p>
    <w:tbl>
      <w:tblPr>
        <w:tblW w:w="5000" w:type="pct"/>
        <w:tblCellMar>
          <w:top w:w="15" w:type="dxa"/>
          <w:left w:w="15" w:type="dxa"/>
          <w:bottom w:w="15" w:type="dxa"/>
          <w:right w:w="15" w:type="dxa"/>
        </w:tblCellMar>
        <w:tblLook w:val="04A0" w:firstRow="1" w:lastRow="0" w:firstColumn="1" w:lastColumn="0" w:noHBand="0" w:noVBand="1"/>
      </w:tblPr>
      <w:tblGrid>
        <w:gridCol w:w="4909"/>
        <w:gridCol w:w="4101"/>
      </w:tblGrid>
      <w:tr w:rsidR="00E97209" w:rsidRPr="00E97209" w14:paraId="26DE9C0E" w14:textId="77777777" w:rsidTr="00E97209">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C95F8B2" w14:textId="77777777" w:rsidR="00E97209" w:rsidRPr="00E97209" w:rsidRDefault="00E97209" w:rsidP="00E97209">
            <w:pPr>
              <w:rPr>
                <w:rFonts w:ascii="Times New Roman" w:hAnsi="Times New Roman" w:cs="Times New Roman"/>
                <w:b/>
                <w:bCs/>
              </w:rPr>
            </w:pPr>
            <w:r w:rsidRPr="00E97209">
              <w:rPr>
                <w:rFonts w:ascii="Times New Roman" w:hAnsi="Times New Roman" w:cs="Times New Roman"/>
                <w:b/>
                <w:bCs/>
              </w:rPr>
              <w:t>CTX-M Subfamily</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0729583" w14:textId="77777777" w:rsidR="00E97209" w:rsidRPr="00E97209" w:rsidRDefault="00E97209" w:rsidP="00E97209">
            <w:pPr>
              <w:rPr>
                <w:rFonts w:ascii="Times New Roman" w:hAnsi="Times New Roman" w:cs="Times New Roman"/>
                <w:b/>
                <w:bCs/>
              </w:rPr>
            </w:pPr>
            <w:r w:rsidRPr="00E97209">
              <w:rPr>
                <w:rFonts w:ascii="Times New Roman" w:hAnsi="Times New Roman" w:cs="Times New Roman"/>
                <w:b/>
                <w:bCs/>
              </w:rPr>
              <w:t>No. of Variants</w:t>
            </w:r>
          </w:p>
        </w:tc>
      </w:tr>
      <w:tr w:rsidR="00E97209" w:rsidRPr="00E97209" w14:paraId="08E8A8BD" w14:textId="77777777" w:rsidTr="00E97209">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159A48"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CTX-M-1-like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CC83C9"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133</w:t>
            </w:r>
          </w:p>
        </w:tc>
      </w:tr>
      <w:tr w:rsidR="00E97209" w:rsidRPr="00E97209" w14:paraId="5C67EE37" w14:textId="77777777" w:rsidTr="00E97209">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9E11A8"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CTX-M-9-like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18404F"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82</w:t>
            </w:r>
          </w:p>
        </w:tc>
      </w:tr>
      <w:tr w:rsidR="00E97209" w:rsidRPr="00E97209" w14:paraId="2BA10803" w14:textId="77777777" w:rsidTr="00E97209">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2A93D1"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CTX-M-2-like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75789D"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35</w:t>
            </w:r>
          </w:p>
        </w:tc>
      </w:tr>
      <w:tr w:rsidR="00E97209" w:rsidRPr="00E97209" w14:paraId="1BDECAD4" w14:textId="77777777" w:rsidTr="00E97209">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BD20FF"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CTX-M-25-like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A7C28A"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14</w:t>
            </w:r>
          </w:p>
        </w:tc>
      </w:tr>
      <w:tr w:rsidR="00E97209" w:rsidRPr="00E97209" w14:paraId="6DA07469" w14:textId="77777777" w:rsidTr="00E97209">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17DE50"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CTX-M-8-like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B88A5A"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4</w:t>
            </w:r>
          </w:p>
        </w:tc>
      </w:tr>
      <w:tr w:rsidR="00E97209" w:rsidRPr="00E97209" w14:paraId="680342FE" w14:textId="77777777" w:rsidTr="00E97209">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9ED88E"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CTX-M-151-like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E69587" w14:textId="77777777" w:rsidR="00E97209" w:rsidRPr="00E97209" w:rsidRDefault="00E97209" w:rsidP="00E97209">
            <w:pPr>
              <w:rPr>
                <w:rFonts w:ascii="Times New Roman" w:hAnsi="Times New Roman" w:cs="Times New Roman"/>
              </w:rPr>
            </w:pPr>
            <w:r w:rsidRPr="00E97209">
              <w:rPr>
                <w:rFonts w:ascii="Times New Roman" w:hAnsi="Times New Roman" w:cs="Times New Roman"/>
              </w:rPr>
              <w:t>1</w:t>
            </w:r>
          </w:p>
        </w:tc>
      </w:tr>
    </w:tbl>
    <w:p w14:paraId="018D2626" w14:textId="2AE92C15" w:rsidR="00E97209" w:rsidRPr="00E97209" w:rsidRDefault="00E97209" w:rsidP="00E97209">
      <w:pPr>
        <w:rPr>
          <w:rFonts w:ascii="Times New Roman" w:hAnsi="Times New Roman" w:cs="Times New Roman"/>
        </w:rPr>
      </w:pPr>
      <w:r w:rsidRPr="00E97209">
        <w:rPr>
          <w:rFonts w:ascii="Times New Roman" w:hAnsi="Times New Roman" w:cs="Times New Roman"/>
        </w:rPr>
        <w:t xml:space="preserve">Unlike TEM and SHV ESBLs, which evolved from narrow-spectrum precursors through point mutations, CTX-M constitutes a complex, non-homogeneous enzyme family with distinct ancestral lineages. The structural analysis of CTX-M variants (e.g., modelled structures of CTX-M-12 and CTX-M-15 presented in the case report) reflects the subtle but functionally significant variations that define substrate range and inhibitor susceptibility across subfamilies. </w:t>
      </w:r>
    </w:p>
    <w:p w14:paraId="3A50BF54" w14:textId="79614EB8" w:rsidR="00A7290A" w:rsidRPr="00E97209" w:rsidRDefault="00A7290A" w:rsidP="00E97209">
      <w:pPr>
        <w:rPr>
          <w:rFonts w:ascii="Times New Roman" w:hAnsi="Times New Roman" w:cs="Times New Roman"/>
        </w:rPr>
      </w:pPr>
    </w:p>
    <w:sectPr w:rsidR="00A7290A" w:rsidRPr="00E972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209"/>
    <w:rsid w:val="00776A65"/>
    <w:rsid w:val="00A7290A"/>
    <w:rsid w:val="00A8528F"/>
    <w:rsid w:val="00B46F59"/>
    <w:rsid w:val="00C87FB9"/>
    <w:rsid w:val="00D82673"/>
    <w:rsid w:val="00DD12F0"/>
    <w:rsid w:val="00E053CE"/>
    <w:rsid w:val="00E23449"/>
    <w:rsid w:val="00E97209"/>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CEC16"/>
  <w15:chartTrackingRefBased/>
  <w15:docId w15:val="{5CAC797C-2411-4F8E-82F2-F62BE1DC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7209"/>
    <w:rPr>
      <w:color w:val="0563C1" w:themeColor="hyperlink"/>
      <w:u w:val="single"/>
    </w:rPr>
  </w:style>
  <w:style w:type="character" w:styleId="UnresolvedMention">
    <w:name w:val="Unresolved Mention"/>
    <w:basedOn w:val="DefaultParagraphFont"/>
    <w:uiPriority w:val="99"/>
    <w:semiHidden/>
    <w:unhideWhenUsed/>
    <w:rsid w:val="00E972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821431">
      <w:bodyDiv w:val="1"/>
      <w:marLeft w:val="0"/>
      <w:marRight w:val="0"/>
      <w:marTop w:val="0"/>
      <w:marBottom w:val="0"/>
      <w:divBdr>
        <w:top w:val="none" w:sz="0" w:space="0" w:color="auto"/>
        <w:left w:val="none" w:sz="0" w:space="0" w:color="auto"/>
        <w:bottom w:val="none" w:sz="0" w:space="0" w:color="auto"/>
        <w:right w:val="none" w:sz="0" w:space="0" w:color="auto"/>
      </w:divBdr>
      <w:divsChild>
        <w:div w:id="672612273">
          <w:marLeft w:val="0"/>
          <w:marRight w:val="0"/>
          <w:marTop w:val="240"/>
          <w:marBottom w:val="240"/>
          <w:divBdr>
            <w:top w:val="single" w:sz="2" w:space="0" w:color="auto"/>
            <w:left w:val="single" w:sz="2" w:space="0" w:color="auto"/>
            <w:bottom w:val="single" w:sz="2" w:space="0" w:color="auto"/>
            <w:right w:val="single" w:sz="2" w:space="0" w:color="auto"/>
          </w:divBdr>
          <w:divsChild>
            <w:div w:id="512719201">
              <w:marLeft w:val="0"/>
              <w:marRight w:val="0"/>
              <w:marTop w:val="0"/>
              <w:marBottom w:val="0"/>
              <w:divBdr>
                <w:top w:val="single" w:sz="6" w:space="0" w:color="auto"/>
                <w:left w:val="single" w:sz="6" w:space="0" w:color="auto"/>
                <w:bottom w:val="single" w:sz="6" w:space="0" w:color="auto"/>
                <w:right w:val="single" w:sz="6" w:space="0" w:color="auto"/>
              </w:divBdr>
            </w:div>
          </w:divsChild>
        </w:div>
        <w:div w:id="853106911">
          <w:marLeft w:val="0"/>
          <w:marRight w:val="0"/>
          <w:marTop w:val="240"/>
          <w:marBottom w:val="240"/>
          <w:divBdr>
            <w:top w:val="single" w:sz="2" w:space="0" w:color="auto"/>
            <w:left w:val="single" w:sz="2" w:space="0" w:color="auto"/>
            <w:bottom w:val="single" w:sz="2" w:space="0" w:color="auto"/>
            <w:right w:val="single" w:sz="2" w:space="0" w:color="auto"/>
          </w:divBdr>
          <w:divsChild>
            <w:div w:id="148943979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251888895">
      <w:bodyDiv w:val="1"/>
      <w:marLeft w:val="0"/>
      <w:marRight w:val="0"/>
      <w:marTop w:val="0"/>
      <w:marBottom w:val="0"/>
      <w:divBdr>
        <w:top w:val="none" w:sz="0" w:space="0" w:color="auto"/>
        <w:left w:val="none" w:sz="0" w:space="0" w:color="auto"/>
        <w:bottom w:val="none" w:sz="0" w:space="0" w:color="auto"/>
        <w:right w:val="none" w:sz="0" w:space="0" w:color="auto"/>
      </w:divBdr>
    </w:div>
    <w:div w:id="139824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33F80-10FD-491C-8576-4C8F7D2ED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Tanmoy Sen</dc:creator>
  <cp:keywords/>
  <dc:description/>
  <cp:lastModifiedBy>Tanmoy Sen</cp:lastModifiedBy>
  <cp:revision>1</cp:revision>
  <dcterms:created xsi:type="dcterms:W3CDTF">2026-05-04T07:19:00Z</dcterms:created>
  <dcterms:modified xsi:type="dcterms:W3CDTF">2026-05-04T07:51:00Z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8d4ecc79-8792-422e-8758-2f82c5629579</vt:lpwstr>
  </property>
</Properties>
</file>