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4445" w14:textId="663F99FC" w:rsidR="00B55085" w:rsidRDefault="00B55085" w:rsidP="00B55085">
      <w:pPr>
        <w:jc w:val="center"/>
        <w:rPr>
          <w:rFonts w:ascii="Times New Roman" w:hAnsi="Times New Roman" w:cs="Times New Roman"/>
          <w:b/>
          <w:bCs/>
        </w:rPr>
      </w:pPr>
      <w:r w:rsidRPr="00B55085">
        <w:rPr>
          <w:rFonts w:ascii="Times New Roman" w:hAnsi="Times New Roman" w:cs="Times New Roman"/>
          <w:b/>
          <w:bCs/>
        </w:rPr>
        <w:t xml:space="preserve">Environmental Sampling and </w:t>
      </w:r>
      <w:proofErr w:type="spellStart"/>
      <w:r w:rsidRPr="00B55085">
        <w:rPr>
          <w:rFonts w:ascii="Times New Roman" w:hAnsi="Times New Roman" w:cs="Times New Roman"/>
          <w:b/>
          <w:bCs/>
        </w:rPr>
        <w:t>Modeling</w:t>
      </w:r>
      <w:proofErr w:type="spellEnd"/>
      <w:r w:rsidRPr="00B55085">
        <w:rPr>
          <w:rFonts w:ascii="Times New Roman" w:hAnsi="Times New Roman" w:cs="Times New Roman"/>
          <w:b/>
          <w:bCs/>
        </w:rPr>
        <w:t xml:space="preserve"> (include metagenomics and metabolomics)</w:t>
      </w:r>
    </w:p>
    <w:p w14:paraId="1974FD25" w14:textId="53B1483E" w:rsidR="00A43B48" w:rsidRPr="009D0E47" w:rsidRDefault="00DF3AC7">
      <w:pPr>
        <w:rPr>
          <w:rFonts w:ascii="Times New Roman" w:hAnsi="Times New Roman" w:cs="Times New Roman"/>
          <w:b/>
          <w:bCs/>
        </w:rPr>
      </w:pPr>
      <w:r w:rsidRPr="009D0E47">
        <w:rPr>
          <w:rFonts w:ascii="Times New Roman" w:hAnsi="Times New Roman" w:cs="Times New Roman"/>
          <w:b/>
          <w:bCs/>
        </w:rPr>
        <w:t xml:space="preserve">Abstract: </w:t>
      </w:r>
      <w:r w:rsidR="00B55085">
        <w:rPr>
          <w:rFonts w:ascii="Times New Roman" w:hAnsi="Times New Roman" w:cs="Times New Roman"/>
          <w:b/>
          <w:bCs/>
        </w:rPr>
        <w:t>(India AMR mapping)</w:t>
      </w:r>
    </w:p>
    <w:p w14:paraId="45492CCD" w14:textId="5E8B0D20" w:rsidR="00A43B48" w:rsidRPr="009D0E47" w:rsidRDefault="004E4545" w:rsidP="00DF3AC7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9D0E47">
        <w:rPr>
          <w:rFonts w:ascii="Times New Roman" w:hAnsi="Times New Roman" w:cs="Times New Roman"/>
          <w:color w:val="0D0D0D"/>
        </w:rPr>
        <w:t xml:space="preserve">India </w:t>
      </w:r>
      <w:r w:rsidR="00B55085">
        <w:rPr>
          <w:rFonts w:ascii="Times New Roman" w:hAnsi="Times New Roman" w:cs="Times New Roman"/>
          <w:color w:val="0D0D0D"/>
        </w:rPr>
        <w:t xml:space="preserve">AMR </w:t>
      </w:r>
      <w:r w:rsidRPr="009D0E47">
        <w:rPr>
          <w:rFonts w:ascii="Times New Roman" w:hAnsi="Times New Roman" w:cs="Times New Roman"/>
          <w:color w:val="0D0D0D"/>
        </w:rPr>
        <w:t xml:space="preserve">mapping plan includes collecting environmental samples across all states, screening bacterial load, antibiotic-resistant profiling, and identifying the AMR stressors. </w:t>
      </w:r>
      <w:r w:rsidRPr="009D0E47">
        <w:rPr>
          <w:rFonts w:ascii="Times New Roman" w:hAnsi="Times New Roman" w:cs="Times New Roman"/>
          <w:color w:val="0D0D0D"/>
        </w:rPr>
        <w:t>This study in</w:t>
      </w:r>
      <w:r w:rsidRPr="009D0E47">
        <w:rPr>
          <w:rFonts w:ascii="Times New Roman" w:hAnsi="Times New Roman" w:cs="Times New Roman"/>
          <w:color w:val="0D0D0D"/>
        </w:rPr>
        <w:t>cludes</w:t>
      </w:r>
      <w:r w:rsidRPr="009D0E47">
        <w:rPr>
          <w:rFonts w:ascii="Times New Roman" w:hAnsi="Times New Roman" w:cs="Times New Roman"/>
          <w:color w:val="0D0D0D"/>
        </w:rPr>
        <w:t xml:space="preserve"> microbiological</w:t>
      </w:r>
      <w:r w:rsidRPr="009D0E47">
        <w:rPr>
          <w:rFonts w:ascii="Times New Roman" w:eastAsia="Times New Roman" w:hAnsi="Times New Roman" w:cs="Times New Roman"/>
          <w:color w:val="0D0D0D"/>
        </w:rPr>
        <w:t xml:space="preserve"> analysis</w:t>
      </w:r>
      <w:r w:rsidRPr="009D0E47">
        <w:rPr>
          <w:rFonts w:ascii="Times New Roman" w:hAnsi="Times New Roman" w:cs="Times New Roman"/>
          <w:color w:val="0D0D0D"/>
        </w:rPr>
        <w:t xml:space="preserve">, advanced chromatography-based mass spectrometry, and metagenomics of </w:t>
      </w:r>
      <w:r w:rsidRPr="009D0E47">
        <w:rPr>
          <w:rFonts w:ascii="Times New Roman" w:hAnsi="Times New Roman" w:cs="Times New Roman"/>
          <w:color w:val="0D0D0D"/>
        </w:rPr>
        <w:t>all samples</w:t>
      </w:r>
      <w:r w:rsidRPr="009D0E47">
        <w:rPr>
          <w:rFonts w:ascii="Times New Roman" w:hAnsi="Times New Roman" w:cs="Times New Roman"/>
          <w:color w:val="0D0D0D"/>
        </w:rPr>
        <w:t xml:space="preserve"> collected from 25 </w:t>
      </w:r>
      <w:r w:rsidRPr="009D0E47">
        <w:rPr>
          <w:rFonts w:ascii="Times New Roman" w:eastAsia="Times New Roman" w:hAnsi="Times New Roman" w:cs="Times New Roman"/>
          <w:color w:val="0D0D0D"/>
        </w:rPr>
        <w:t>distinct</w:t>
      </w:r>
      <w:r w:rsidRPr="009D0E47">
        <w:rPr>
          <w:rFonts w:ascii="Times New Roman" w:hAnsi="Times New Roman" w:cs="Times New Roman"/>
          <w:color w:val="0D0D0D"/>
        </w:rPr>
        <w:t xml:space="preserve"> geolocations </w:t>
      </w:r>
      <w:r w:rsidRPr="009D0E47">
        <w:rPr>
          <w:rFonts w:ascii="Times New Roman" w:eastAsia="Times New Roman" w:hAnsi="Times New Roman" w:cs="Times New Roman"/>
          <w:color w:val="0D0D0D"/>
        </w:rPr>
        <w:t>across</w:t>
      </w:r>
      <w:r w:rsidRPr="009D0E47">
        <w:rPr>
          <w:rFonts w:ascii="Times New Roman" w:hAnsi="Times New Roman" w:cs="Times New Roman"/>
          <w:color w:val="0D0D0D"/>
        </w:rPr>
        <w:t xml:space="preserve"> India. </w:t>
      </w:r>
      <w:r w:rsidRPr="009D0E47">
        <w:rPr>
          <w:rFonts w:ascii="Times New Roman" w:hAnsi="Times New Roman" w:cs="Times New Roman"/>
          <w:color w:val="0D0D0D"/>
        </w:rPr>
        <w:t>Total culturable bacterial load, m</w:t>
      </w:r>
      <w:r w:rsidRPr="009D0E47">
        <w:rPr>
          <w:rFonts w:ascii="Times New Roman" w:eastAsia="Times New Roman" w:hAnsi="Times New Roman" w:cs="Times New Roman"/>
          <w:color w:val="0D0D0D"/>
        </w:rPr>
        <w:t>etabolites</w:t>
      </w:r>
      <w:r w:rsidRPr="009D0E47">
        <w:rPr>
          <w:rFonts w:ascii="Times New Roman" w:hAnsi="Times New Roman" w:cs="Times New Roman"/>
          <w:color w:val="0D0D0D"/>
        </w:rPr>
        <w:t xml:space="preserve"> related to antibiotic biosynthesis, </w:t>
      </w:r>
      <w:r w:rsidRPr="009D0E47">
        <w:rPr>
          <w:rFonts w:ascii="Times New Roman" w:eastAsia="Times New Roman" w:hAnsi="Times New Roman" w:cs="Times New Roman"/>
          <w:color w:val="0D0D0D"/>
        </w:rPr>
        <w:t>as well as</w:t>
      </w:r>
      <w:r w:rsidRPr="009D0E47">
        <w:rPr>
          <w:rFonts w:ascii="Times New Roman" w:hAnsi="Times New Roman" w:cs="Times New Roman"/>
          <w:color w:val="0D0D0D"/>
        </w:rPr>
        <w:t xml:space="preserve"> antibiotics and their biosynthetic genes, were examined in samples.</w:t>
      </w:r>
      <w:r w:rsidRPr="009D0E47">
        <w:rPr>
          <w:rFonts w:ascii="Times New Roman" w:hAnsi="Times New Roman" w:cs="Times New Roman"/>
          <w:b/>
        </w:rPr>
        <w:t xml:space="preserve"> </w:t>
      </w:r>
      <w:r w:rsidRPr="009D0E47">
        <w:rPr>
          <w:rFonts w:ascii="Times New Roman" w:hAnsi="Times New Roman" w:cs="Times New Roman"/>
          <w:color w:val="0D0D0D"/>
        </w:rPr>
        <w:t xml:space="preserve">We </w:t>
      </w:r>
      <w:r w:rsidRPr="009D0E47">
        <w:rPr>
          <w:rFonts w:ascii="Times New Roman" w:eastAsia="Times New Roman" w:hAnsi="Times New Roman" w:cs="Times New Roman"/>
          <w:color w:val="0D0D0D"/>
        </w:rPr>
        <w:t xml:space="preserve">identified </w:t>
      </w:r>
      <w:r w:rsidRPr="009D0E47">
        <w:rPr>
          <w:rFonts w:ascii="Times New Roman" w:hAnsi="Times New Roman" w:cs="Times New Roman"/>
          <w:color w:val="0D0D0D"/>
        </w:rPr>
        <w:t xml:space="preserve">antibiotic-producing bacterial populations and </w:t>
      </w:r>
      <w:r w:rsidRPr="009D0E47">
        <w:rPr>
          <w:rFonts w:ascii="Times New Roman" w:eastAsia="Times New Roman" w:hAnsi="Times New Roman" w:cs="Times New Roman"/>
          <w:color w:val="0D0D0D"/>
        </w:rPr>
        <w:t>performed</w:t>
      </w:r>
      <w:r w:rsidRPr="009D0E47">
        <w:rPr>
          <w:rFonts w:ascii="Times New Roman" w:hAnsi="Times New Roman" w:cs="Times New Roman"/>
          <w:color w:val="0D0D0D"/>
        </w:rPr>
        <w:t xml:space="preserve"> functional gene analyses to reveal genes responsible for antibiotic biosynthesis and resistance. The linkage between compounds and genes was established to </w:t>
      </w:r>
      <w:r w:rsidRPr="009D0E47">
        <w:rPr>
          <w:rFonts w:ascii="Times New Roman" w:eastAsia="Times New Roman" w:hAnsi="Times New Roman" w:cs="Times New Roman"/>
          <w:color w:val="0D0D0D"/>
        </w:rPr>
        <w:t>delineate</w:t>
      </w:r>
      <w:r w:rsidRPr="009D0E47">
        <w:rPr>
          <w:rFonts w:ascii="Times New Roman" w:hAnsi="Times New Roman" w:cs="Times New Roman"/>
          <w:color w:val="0D0D0D"/>
        </w:rPr>
        <w:t xml:space="preserve"> the </w:t>
      </w:r>
      <w:r w:rsidRPr="009D0E47">
        <w:rPr>
          <w:rFonts w:ascii="Times New Roman" w:eastAsia="Times New Roman" w:hAnsi="Times New Roman" w:cs="Times New Roman"/>
          <w:color w:val="0D0D0D"/>
        </w:rPr>
        <w:t xml:space="preserve">biosynthetic pathways of </w:t>
      </w:r>
      <w:r w:rsidRPr="009D0E47">
        <w:rPr>
          <w:rFonts w:ascii="Times New Roman" w:hAnsi="Times New Roman" w:cs="Times New Roman"/>
          <w:color w:val="0D0D0D"/>
        </w:rPr>
        <w:t xml:space="preserve">glycopeptides, tetracyclines, carbapenems, </w:t>
      </w:r>
      <w:r w:rsidRPr="009D0E47">
        <w:rPr>
          <w:rFonts w:ascii="Times New Roman" w:eastAsia="Times New Roman" w:hAnsi="Times New Roman" w:cs="Times New Roman"/>
          <w:color w:val="0D0D0D"/>
        </w:rPr>
        <w:t>aminocoumarins</w:t>
      </w:r>
      <w:r w:rsidRPr="009D0E47">
        <w:rPr>
          <w:rFonts w:ascii="Times New Roman" w:hAnsi="Times New Roman" w:cs="Times New Roman"/>
          <w:color w:val="0D0D0D"/>
        </w:rPr>
        <w:t xml:space="preserve">, monobactams, aminoglycosides, clavulanic acid, </w:t>
      </w:r>
      <w:proofErr w:type="spellStart"/>
      <w:r w:rsidRPr="009D0E47">
        <w:rPr>
          <w:rFonts w:ascii="Times New Roman" w:eastAsia="Times New Roman" w:hAnsi="Times New Roman" w:cs="Times New Roman"/>
          <w:color w:val="0D0D0D"/>
        </w:rPr>
        <w:t>penicillins</w:t>
      </w:r>
      <w:proofErr w:type="spellEnd"/>
      <w:r w:rsidRPr="009D0E47">
        <w:rPr>
          <w:rFonts w:ascii="Times New Roman" w:hAnsi="Times New Roman" w:cs="Times New Roman"/>
          <w:color w:val="0D0D0D"/>
        </w:rPr>
        <w:t>, and cephalosporins</w:t>
      </w:r>
      <w:r w:rsidRPr="009D0E47">
        <w:rPr>
          <w:rFonts w:ascii="Times New Roman" w:eastAsia="Times New Roman" w:hAnsi="Times New Roman" w:cs="Times New Roman"/>
          <w:color w:val="0D0D0D"/>
        </w:rPr>
        <w:t>.</w:t>
      </w:r>
      <w:r w:rsidRPr="009D0E47">
        <w:rPr>
          <w:rFonts w:ascii="Times New Roman" w:hAnsi="Times New Roman" w:cs="Times New Roman"/>
          <w:color w:val="0D0D0D"/>
        </w:rPr>
        <w:t xml:space="preserve"> Understanding</w:t>
      </w:r>
      <w:r w:rsidRPr="009D0E47">
        <w:rPr>
          <w:rFonts w:ascii="Times New Roman" w:eastAsia="Times New Roman" w:hAnsi="Times New Roman" w:cs="Times New Roman"/>
          <w:color w:val="0D0D0D"/>
        </w:rPr>
        <w:t xml:space="preserve"> these</w:t>
      </w:r>
      <w:r w:rsidRPr="009D0E47">
        <w:rPr>
          <w:rFonts w:ascii="Times New Roman" w:hAnsi="Times New Roman" w:cs="Times New Roman"/>
          <w:color w:val="0D0D0D"/>
        </w:rPr>
        <w:t xml:space="preserve"> antibiotic biosynthesis pathways in </w:t>
      </w:r>
      <w:r w:rsidRPr="009D0E47">
        <w:rPr>
          <w:rFonts w:ascii="Times New Roman" w:hAnsi="Times New Roman" w:cs="Times New Roman"/>
          <w:color w:val="0D0D0D"/>
        </w:rPr>
        <w:t xml:space="preserve">environmental </w:t>
      </w:r>
      <w:r w:rsidRPr="009D0E47">
        <w:rPr>
          <w:rFonts w:ascii="Times New Roman" w:hAnsi="Times New Roman" w:cs="Times New Roman"/>
          <w:color w:val="0D0D0D"/>
        </w:rPr>
        <w:t>samples sheds light on potential sources of diverse resistance genes.</w:t>
      </w:r>
      <w:r w:rsidRPr="009D0E47">
        <w:rPr>
          <w:rFonts w:ascii="Times New Roman" w:hAnsi="Times New Roman" w:cs="Times New Roman"/>
          <w:b/>
        </w:rPr>
        <w:t xml:space="preserve"> </w:t>
      </w:r>
      <w:r w:rsidRPr="009D0E47">
        <w:rPr>
          <w:rFonts w:ascii="Times New Roman" w:hAnsi="Times New Roman" w:cs="Times New Roman"/>
          <w:color w:val="0D0D0D"/>
        </w:rPr>
        <w:t xml:space="preserve">This research </w:t>
      </w:r>
      <w:r w:rsidRPr="009D0E47">
        <w:rPr>
          <w:rFonts w:ascii="Times New Roman" w:eastAsia="Times New Roman" w:hAnsi="Times New Roman" w:cs="Times New Roman"/>
          <w:color w:val="0D0D0D"/>
        </w:rPr>
        <w:t>provides</w:t>
      </w:r>
      <w:r w:rsidRPr="009D0E47">
        <w:rPr>
          <w:rFonts w:ascii="Times New Roman" w:hAnsi="Times New Roman" w:cs="Times New Roman"/>
          <w:color w:val="0D0D0D"/>
        </w:rPr>
        <w:t xml:space="preserve"> One</w:t>
      </w:r>
      <w:r w:rsidRPr="009D0E47">
        <w:rPr>
          <w:rFonts w:ascii="Times New Roman" w:eastAsia="Times New Roman" w:hAnsi="Times New Roman" w:cs="Times New Roman"/>
          <w:color w:val="0D0D0D"/>
        </w:rPr>
        <w:t xml:space="preserve"> </w:t>
      </w:r>
      <w:r w:rsidRPr="009D0E47">
        <w:rPr>
          <w:rFonts w:ascii="Times New Roman" w:hAnsi="Times New Roman" w:cs="Times New Roman"/>
          <w:color w:val="0D0D0D"/>
        </w:rPr>
        <w:t xml:space="preserve">Health insights into the complex interplay between biosynthesis of antibiotics and occurrence of antibiotic resistance in </w:t>
      </w:r>
      <w:r w:rsidR="00DF3AC7" w:rsidRPr="009D0E47">
        <w:rPr>
          <w:rFonts w:ascii="Times New Roman" w:hAnsi="Times New Roman" w:cs="Times New Roman"/>
          <w:color w:val="0D0D0D"/>
        </w:rPr>
        <w:t>the environment,</w:t>
      </w:r>
      <w:r w:rsidRPr="009D0E47">
        <w:rPr>
          <w:rFonts w:ascii="Times New Roman" w:eastAsia="Times New Roman" w:hAnsi="Times New Roman" w:cs="Times New Roman"/>
          <w:color w:val="0D0D0D"/>
        </w:rPr>
        <w:t xml:space="preserve"> laying</w:t>
      </w:r>
      <w:r w:rsidRPr="009D0E47">
        <w:rPr>
          <w:rFonts w:ascii="Times New Roman" w:hAnsi="Times New Roman" w:cs="Times New Roman"/>
          <w:color w:val="0D0D0D"/>
        </w:rPr>
        <w:t xml:space="preserve"> a foundation for addressing future antibiotic resistance challenges.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43B48" w:rsidRPr="009D0E47" w14:paraId="145D1165" w14:textId="77777777" w:rsidTr="00A43B48">
        <w:tc>
          <w:tcPr>
            <w:tcW w:w="9016" w:type="dxa"/>
          </w:tcPr>
          <w:p w14:paraId="638F87E4" w14:textId="7E8877A6" w:rsidR="00A43B48" w:rsidRPr="009D0E47" w:rsidRDefault="00A43B48" w:rsidP="004E4545">
            <w:pPr>
              <w:rPr>
                <w:rFonts w:ascii="Times New Roman" w:hAnsi="Times New Roman" w:cs="Times New Roman"/>
              </w:rPr>
            </w:pPr>
            <w:r w:rsidRPr="009D0E47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4631D3B" wp14:editId="20F32725">
                  <wp:extent cx="5588017" cy="4393769"/>
                  <wp:effectExtent l="0" t="0" r="0" b="6985"/>
                  <wp:docPr id="11041900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4190064" name="Picture 1104190064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9106" cy="439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0268C" w14:textId="77777777" w:rsidR="00A43B48" w:rsidRPr="009D0E47" w:rsidRDefault="00A43B48">
      <w:pPr>
        <w:rPr>
          <w:rFonts w:ascii="Times New Roman" w:hAnsi="Times New Roman" w:cs="Times New Roman"/>
        </w:rPr>
      </w:pPr>
    </w:p>
    <w:p w14:paraId="699D14AF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1A7A92A8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51455F90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7E600A59" w14:textId="7309A2A3" w:rsidR="004E4545" w:rsidRPr="009D0E47" w:rsidRDefault="00DF3AC7">
      <w:pPr>
        <w:rPr>
          <w:rFonts w:ascii="Times New Roman" w:hAnsi="Times New Roman" w:cs="Times New Roman"/>
          <w:b/>
          <w:bCs/>
        </w:rPr>
      </w:pPr>
      <w:r w:rsidRPr="009D0E47">
        <w:rPr>
          <w:rFonts w:ascii="Times New Roman" w:hAnsi="Times New Roman" w:cs="Times New Roman"/>
          <w:b/>
          <w:bCs/>
        </w:rPr>
        <w:t xml:space="preserve">Abstract: </w:t>
      </w:r>
      <w:r w:rsidR="00B55085">
        <w:rPr>
          <w:rFonts w:ascii="Times New Roman" w:hAnsi="Times New Roman" w:cs="Times New Roman"/>
          <w:b/>
          <w:bCs/>
        </w:rPr>
        <w:t>(Watershed AMR monitoring)</w:t>
      </w:r>
    </w:p>
    <w:p w14:paraId="240E78F4" w14:textId="0F860D14" w:rsidR="00DF3AC7" w:rsidRPr="009D0E47" w:rsidRDefault="00DF3AC7" w:rsidP="009D0E4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D0E47">
        <w:rPr>
          <w:rFonts w:ascii="Times New Roman" w:hAnsi="Times New Roman" w:cs="Times New Roman"/>
        </w:rPr>
        <w:t xml:space="preserve">People are increasingly recognising antimicrobial resistance (AMR) as an environmental problem. Riverine systems connect </w:t>
      </w:r>
      <w:r w:rsidRPr="009D0E47">
        <w:rPr>
          <w:rFonts w:ascii="Times New Roman" w:hAnsi="Times New Roman" w:cs="Times New Roman"/>
        </w:rPr>
        <w:t>humans</w:t>
      </w:r>
      <w:r w:rsidRPr="009D0E47">
        <w:rPr>
          <w:rFonts w:ascii="Times New Roman" w:hAnsi="Times New Roman" w:cs="Times New Roman"/>
        </w:rPr>
        <w:t xml:space="preserve">, farms, and ecosystems by acting as dynamic reservoirs and transmission corridors. We </w:t>
      </w:r>
      <w:r w:rsidRPr="009D0E47">
        <w:rPr>
          <w:rFonts w:ascii="Times New Roman" w:hAnsi="Times New Roman" w:cs="Times New Roman"/>
        </w:rPr>
        <w:t>studied</w:t>
      </w:r>
      <w:r w:rsidRPr="009D0E47">
        <w:rPr>
          <w:rFonts w:ascii="Times New Roman" w:hAnsi="Times New Roman" w:cs="Times New Roman"/>
        </w:rPr>
        <w:t xml:space="preserve"> the Song River basin in Uttarakhand, India, as </w:t>
      </w:r>
      <w:r w:rsidRPr="009D0E47">
        <w:rPr>
          <w:rFonts w:ascii="Times New Roman" w:hAnsi="Times New Roman" w:cs="Times New Roman"/>
        </w:rPr>
        <w:t xml:space="preserve">a model to show how an integrated One Health–driven experimental and mathematical </w:t>
      </w:r>
      <w:proofErr w:type="spellStart"/>
      <w:r w:rsidRPr="009D0E47">
        <w:rPr>
          <w:rFonts w:ascii="Times New Roman" w:hAnsi="Times New Roman" w:cs="Times New Roman"/>
        </w:rPr>
        <w:t>modeling</w:t>
      </w:r>
      <w:proofErr w:type="spellEnd"/>
      <w:r w:rsidRPr="009D0E47">
        <w:rPr>
          <w:rFonts w:ascii="Times New Roman" w:hAnsi="Times New Roman" w:cs="Times New Roman"/>
        </w:rPr>
        <w:t xml:space="preserve"> approach can be used to figure out how AMR emergence</w:t>
      </w:r>
      <w:r w:rsidRPr="009D0E47">
        <w:rPr>
          <w:rFonts w:ascii="Times New Roman" w:hAnsi="Times New Roman" w:cs="Times New Roman"/>
        </w:rPr>
        <w:t xml:space="preserve"> and spreads in a mixed-use Indian watershed.</w:t>
      </w:r>
      <w:r w:rsidRPr="009D0E47">
        <w:rPr>
          <w:rFonts w:ascii="Times New Roman" w:hAnsi="Times New Roman" w:cs="Times New Roman"/>
        </w:rPr>
        <w:t xml:space="preserve"> This study includes</w:t>
      </w:r>
      <w:r w:rsidRPr="009D0E47">
        <w:rPr>
          <w:rFonts w:ascii="Times New Roman" w:hAnsi="Times New Roman" w:cs="Times New Roman"/>
        </w:rPr>
        <w:t xml:space="preserve"> river channels, tributaries, urban drains, sewage treatment plant (STP) outlets, and runoff interfaces to</w:t>
      </w:r>
      <w:r w:rsidRPr="009D0E47">
        <w:rPr>
          <w:rFonts w:ascii="Times New Roman" w:hAnsi="Times New Roman" w:cs="Times New Roman"/>
        </w:rPr>
        <w:t xml:space="preserve"> assess bacterial abundance, antibiotic resistance</w:t>
      </w:r>
      <w:r w:rsidRPr="009D0E47">
        <w:rPr>
          <w:rFonts w:ascii="Times New Roman" w:hAnsi="Times New Roman" w:cs="Times New Roman"/>
        </w:rPr>
        <w:t>, antibiotic residues, heavy metals, and physicochemical parameters.</w:t>
      </w:r>
      <w:r w:rsidR="009D0E47" w:rsidRPr="009D0E47">
        <w:rPr>
          <w:rFonts w:ascii="Times New Roman" w:hAnsi="Times New Roman" w:cs="Times New Roman"/>
        </w:rPr>
        <w:t xml:space="preserve"> </w:t>
      </w:r>
      <w:r w:rsidRPr="009D0E47">
        <w:rPr>
          <w:rFonts w:ascii="Times New Roman" w:hAnsi="Times New Roman" w:cs="Times New Roman"/>
        </w:rPr>
        <w:t xml:space="preserve">The </w:t>
      </w:r>
      <w:r w:rsidRPr="009D0E47">
        <w:rPr>
          <w:rFonts w:ascii="Times New Roman" w:hAnsi="Times New Roman" w:cs="Times New Roman"/>
        </w:rPr>
        <w:t xml:space="preserve">mathematical </w:t>
      </w:r>
      <w:r w:rsidRPr="009D0E47">
        <w:rPr>
          <w:rFonts w:ascii="Times New Roman" w:hAnsi="Times New Roman" w:cs="Times New Roman"/>
        </w:rPr>
        <w:t xml:space="preserve">model framework </w:t>
      </w:r>
      <w:r w:rsidR="009D0E47" w:rsidRPr="009D0E47">
        <w:rPr>
          <w:rFonts w:ascii="Times New Roman" w:hAnsi="Times New Roman" w:cs="Times New Roman"/>
        </w:rPr>
        <w:t>was designed and developed to encompass first-order exponential antibiotic decay kinetics, logistic growth of resistant populations, heavy metal-mediated co-selection functions, and nutrients-driven</w:t>
      </w:r>
      <w:r w:rsidRPr="009D0E47">
        <w:rPr>
          <w:rFonts w:ascii="Times New Roman" w:hAnsi="Times New Roman" w:cs="Times New Roman"/>
        </w:rPr>
        <w:t xml:space="preserve"> microbial proliferation. The</w:t>
      </w:r>
      <w:r w:rsidRPr="009D0E47">
        <w:rPr>
          <w:rFonts w:ascii="Times New Roman" w:hAnsi="Times New Roman" w:cs="Times New Roman"/>
        </w:rPr>
        <w:t xml:space="preserve"> </w:t>
      </w:r>
      <w:r w:rsidR="009D0E47" w:rsidRPr="009D0E47">
        <w:rPr>
          <w:rFonts w:ascii="Times New Roman" w:hAnsi="Times New Roman" w:cs="Times New Roman"/>
        </w:rPr>
        <w:t>findings of this study</w:t>
      </w:r>
      <w:r w:rsidRPr="009D0E47">
        <w:rPr>
          <w:rFonts w:ascii="Times New Roman" w:hAnsi="Times New Roman" w:cs="Times New Roman"/>
        </w:rPr>
        <w:t xml:space="preserve"> </w:t>
      </w:r>
      <w:r w:rsidR="009D0E47" w:rsidRPr="009D0E47">
        <w:rPr>
          <w:rFonts w:ascii="Times New Roman" w:hAnsi="Times New Roman" w:cs="Times New Roman"/>
        </w:rPr>
        <w:t>demonstrated</w:t>
      </w:r>
      <w:r w:rsidRPr="009D0E47">
        <w:rPr>
          <w:rFonts w:ascii="Times New Roman" w:hAnsi="Times New Roman" w:cs="Times New Roman"/>
        </w:rPr>
        <w:t xml:space="preserve"> that sub-inhibitory drug concentrations, horizontal gene transfer, and co-selection via heavy metals are the primary factors influencing environmental </w:t>
      </w:r>
      <w:proofErr w:type="spellStart"/>
      <w:r w:rsidRPr="009D0E47">
        <w:rPr>
          <w:rFonts w:ascii="Times New Roman" w:hAnsi="Times New Roman" w:cs="Times New Roman"/>
        </w:rPr>
        <w:t>resistomes</w:t>
      </w:r>
      <w:proofErr w:type="spellEnd"/>
      <w:r w:rsidRPr="009D0E47">
        <w:rPr>
          <w:rFonts w:ascii="Times New Roman" w:hAnsi="Times New Roman" w:cs="Times New Roman"/>
        </w:rPr>
        <w:t xml:space="preserve">.  </w:t>
      </w:r>
      <w:r w:rsidR="009D0E47" w:rsidRPr="009D0E47">
        <w:rPr>
          <w:rFonts w:ascii="Times New Roman" w:hAnsi="Times New Roman" w:cs="Times New Roman"/>
        </w:rPr>
        <w:t>I</w:t>
      </w:r>
      <w:r w:rsidRPr="009D0E47">
        <w:rPr>
          <w:rFonts w:ascii="Times New Roman" w:hAnsi="Times New Roman" w:cs="Times New Roman"/>
        </w:rPr>
        <w:t xml:space="preserve">ntegrated </w:t>
      </w:r>
      <w:r w:rsidR="009D0E47" w:rsidRPr="009D0E47">
        <w:rPr>
          <w:rFonts w:ascii="Times New Roman" w:hAnsi="Times New Roman" w:cs="Times New Roman"/>
        </w:rPr>
        <w:t>methods</w:t>
      </w:r>
      <w:r w:rsidRPr="009D0E47">
        <w:rPr>
          <w:rFonts w:ascii="Times New Roman" w:hAnsi="Times New Roman" w:cs="Times New Roman"/>
        </w:rPr>
        <w:t xml:space="preserve"> </w:t>
      </w:r>
      <w:r w:rsidR="009D0E47" w:rsidRPr="009D0E47">
        <w:rPr>
          <w:rFonts w:ascii="Times New Roman" w:hAnsi="Times New Roman" w:cs="Times New Roman"/>
        </w:rPr>
        <w:t xml:space="preserve">were applied </w:t>
      </w:r>
      <w:r w:rsidRPr="009D0E47">
        <w:rPr>
          <w:rFonts w:ascii="Times New Roman" w:hAnsi="Times New Roman" w:cs="Times New Roman"/>
        </w:rPr>
        <w:t xml:space="preserve">to find important transmission nodes, mostly urban effluents and tributary inflows, that help spread AMR and make it worse in bigger river systems like the Ganga. The </w:t>
      </w:r>
      <w:r w:rsidR="009D0E47" w:rsidRPr="009D0E47">
        <w:rPr>
          <w:rFonts w:ascii="Times New Roman" w:hAnsi="Times New Roman" w:cs="Times New Roman"/>
        </w:rPr>
        <w:t>outcome of this study</w:t>
      </w:r>
      <w:r w:rsidRPr="009D0E47">
        <w:rPr>
          <w:rFonts w:ascii="Times New Roman" w:hAnsi="Times New Roman" w:cs="Times New Roman"/>
        </w:rPr>
        <w:t xml:space="preserve"> helps </w:t>
      </w:r>
      <w:r w:rsidR="009D0E47" w:rsidRPr="009D0E47">
        <w:rPr>
          <w:rFonts w:ascii="Times New Roman" w:hAnsi="Times New Roman" w:cs="Times New Roman"/>
        </w:rPr>
        <w:t>to</w:t>
      </w:r>
      <w:r w:rsidRPr="009D0E47">
        <w:rPr>
          <w:rFonts w:ascii="Times New Roman" w:hAnsi="Times New Roman" w:cs="Times New Roman"/>
        </w:rPr>
        <w:t xml:space="preserve"> </w:t>
      </w:r>
      <w:r w:rsidR="009D0E47" w:rsidRPr="009D0E47">
        <w:rPr>
          <w:rFonts w:ascii="Times New Roman" w:hAnsi="Times New Roman" w:cs="Times New Roman"/>
        </w:rPr>
        <w:t>define interventional approaches to reduce pollution</w:t>
      </w:r>
      <w:r w:rsidRPr="009D0E47">
        <w:rPr>
          <w:rFonts w:ascii="Times New Roman" w:hAnsi="Times New Roman" w:cs="Times New Roman"/>
        </w:rPr>
        <w:t xml:space="preserve"> </w:t>
      </w:r>
      <w:r w:rsidR="009D0E47" w:rsidRPr="009D0E47">
        <w:rPr>
          <w:rFonts w:ascii="Times New Roman" w:hAnsi="Times New Roman" w:cs="Times New Roman"/>
        </w:rPr>
        <w:t xml:space="preserve">and improve river health. </w:t>
      </w:r>
      <w:r w:rsidRPr="009D0E47">
        <w:rPr>
          <w:rFonts w:ascii="Times New Roman" w:hAnsi="Times New Roman" w:cs="Times New Roman"/>
        </w:rPr>
        <w:t xml:space="preserve">In general, this work </w:t>
      </w:r>
      <w:r w:rsidR="009D0E47" w:rsidRPr="009D0E47">
        <w:rPr>
          <w:rFonts w:ascii="Times New Roman" w:hAnsi="Times New Roman" w:cs="Times New Roman"/>
        </w:rPr>
        <w:t>highlights</w:t>
      </w:r>
      <w:r w:rsidRPr="009D0E47">
        <w:rPr>
          <w:rFonts w:ascii="Times New Roman" w:hAnsi="Times New Roman" w:cs="Times New Roman"/>
        </w:rPr>
        <w:t xml:space="preserve"> a scalable, data-driven riverine</w:t>
      </w:r>
      <w:r w:rsidR="009D0E47" w:rsidRPr="009D0E47">
        <w:rPr>
          <w:rFonts w:ascii="Times New Roman" w:hAnsi="Times New Roman" w:cs="Times New Roman"/>
        </w:rPr>
        <w:t xml:space="preserve"> health model</w:t>
      </w:r>
      <w:r w:rsidRPr="009D0E47">
        <w:rPr>
          <w:rFonts w:ascii="Times New Roman" w:hAnsi="Times New Roman" w:cs="Times New Roman"/>
        </w:rPr>
        <w:t xml:space="preserve"> paradigm</w:t>
      </w:r>
      <w:r w:rsidR="009D0E47" w:rsidRPr="009D0E47">
        <w:rPr>
          <w:rFonts w:ascii="Times New Roman" w:hAnsi="Times New Roman" w:cs="Times New Roman"/>
        </w:rPr>
        <w:t xml:space="preserve">, utilizing environmental monitoring and physicochemical </w:t>
      </w:r>
      <w:r w:rsidRPr="009D0E47">
        <w:rPr>
          <w:rFonts w:ascii="Times New Roman" w:hAnsi="Times New Roman" w:cs="Times New Roman"/>
        </w:rPr>
        <w:t xml:space="preserve">analytics together. It also provides policymakers with useful guidance on using </w:t>
      </w:r>
      <w:r w:rsidR="009D0E47" w:rsidRPr="009D0E47">
        <w:rPr>
          <w:rFonts w:ascii="Times New Roman" w:hAnsi="Times New Roman" w:cs="Times New Roman"/>
        </w:rPr>
        <w:t>research findings</w:t>
      </w:r>
      <w:r w:rsidRPr="009D0E47">
        <w:rPr>
          <w:rFonts w:ascii="Times New Roman" w:hAnsi="Times New Roman" w:cs="Times New Roman"/>
        </w:rPr>
        <w:t xml:space="preserve"> in national and global One Health efforts.</w:t>
      </w:r>
    </w:p>
    <w:p w14:paraId="7379EEED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70E1CC5E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03148D45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28409CC9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08478E39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613187A8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374ADFDB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527E9C5D" w14:textId="77777777" w:rsidR="004E4545" w:rsidRPr="009D0E47" w:rsidRDefault="004E4545">
      <w:pPr>
        <w:rPr>
          <w:rFonts w:ascii="Times New Roman" w:hAnsi="Times New Roman" w:cs="Times New Roman"/>
        </w:rPr>
      </w:pPr>
    </w:p>
    <w:p w14:paraId="14102159" w14:textId="77777777" w:rsidR="004E4545" w:rsidRPr="009D0E47" w:rsidRDefault="004E4545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E4545" w:rsidRPr="009D0E47" w14:paraId="75BC2C78" w14:textId="77777777" w:rsidTr="004E4545">
        <w:tc>
          <w:tcPr>
            <w:tcW w:w="9016" w:type="dxa"/>
          </w:tcPr>
          <w:p w14:paraId="0B3B1C5F" w14:textId="74E9E972" w:rsidR="004E4545" w:rsidRPr="009D0E47" w:rsidRDefault="004E4545">
            <w:pPr>
              <w:rPr>
                <w:rFonts w:ascii="Times New Roman" w:hAnsi="Times New Roman" w:cs="Times New Roman"/>
              </w:rPr>
            </w:pPr>
            <w:r w:rsidRPr="009D0E47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4CADA1D1" wp14:editId="23F59F76">
                  <wp:extent cx="5584279" cy="4494509"/>
                  <wp:effectExtent l="0" t="0" r="0" b="1905"/>
                  <wp:docPr id="122948606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486068" name="Pictur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5830" cy="4495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62CBDB" w14:textId="77777777" w:rsidR="004E4545" w:rsidRPr="009D0E47" w:rsidRDefault="004E4545">
      <w:pPr>
        <w:rPr>
          <w:rFonts w:ascii="Times New Roman" w:hAnsi="Times New Roman" w:cs="Times New Roman"/>
        </w:rPr>
      </w:pPr>
    </w:p>
    <w:sectPr w:rsidR="004E4545" w:rsidRPr="009D0E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1B"/>
    <w:rsid w:val="000062CB"/>
    <w:rsid w:val="002D6866"/>
    <w:rsid w:val="00340CF0"/>
    <w:rsid w:val="004E4545"/>
    <w:rsid w:val="00535C1B"/>
    <w:rsid w:val="00946653"/>
    <w:rsid w:val="00966F8F"/>
    <w:rsid w:val="009D0E47"/>
    <w:rsid w:val="00A251B7"/>
    <w:rsid w:val="00A43B48"/>
    <w:rsid w:val="00A96654"/>
    <w:rsid w:val="00B523DA"/>
    <w:rsid w:val="00B55085"/>
    <w:rsid w:val="00BF2F7E"/>
    <w:rsid w:val="00DF3AC7"/>
    <w:rsid w:val="00F6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0081B"/>
  <w15:chartTrackingRefBased/>
  <w15:docId w15:val="{00A29D9A-D678-4691-A8FD-22F015DF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C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C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C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C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C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C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C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C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C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C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C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C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C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C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C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C1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43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NITEESH KUMAR PANDEY</dc:creator>
  <cp:keywords/>
  <dc:description/>
  <cp:lastModifiedBy>NITEESH KUMAR PANDEY</cp:lastModifiedBy>
  <cp:revision>2</cp:revision>
  <dcterms:created xsi:type="dcterms:W3CDTF">2026-05-08T07:33:00Z</dcterms:created>
  <dcterms:modified xsi:type="dcterms:W3CDTF">2026-05-08T10:33:00Z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d510f8cb-188f-4aed-968c-ecd6d18ffbd7</vt:lpwstr>
  </property>
</Properties>
</file>