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80A2F" w14:textId="3DACD925" w:rsidR="00CB33C3" w:rsidRPr="00414E3F" w:rsidRDefault="00AA147E" w:rsidP="00DD3DD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en-GB"/>
          <w14:ligatures w14:val="none"/>
        </w:rPr>
        <w:t>Name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: 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Anshika Gupta</w:t>
      </w:r>
      <w:r w:rsidR="009109EF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 (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24933031</w:t>
      </w:r>
      <w:r w:rsidR="009109EF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)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.</w:t>
      </w:r>
    </w:p>
    <w:p w14:paraId="56D9143E" w14:textId="7FB4967D" w:rsidR="00AA147E" w:rsidRPr="00414E3F" w:rsidRDefault="00AA147E" w:rsidP="00DD3DD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en-GB"/>
          <w14:ligatures w14:val="none"/>
        </w:rPr>
        <w:t>Joining Date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: 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January 2025</w:t>
      </w:r>
    </w:p>
    <w:p w14:paraId="5F92A24A" w14:textId="282AA65E" w:rsidR="00AA147E" w:rsidRPr="00414E3F" w:rsidRDefault="00AA147E" w:rsidP="00DD3DD1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en-GB"/>
          <w14:ligatures w14:val="none"/>
        </w:rPr>
        <w:t>Research area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: Structure and Function of 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Class-C β-lactamase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.</w:t>
      </w:r>
    </w:p>
    <w:p w14:paraId="75696DE6" w14:textId="25465941" w:rsidR="00006431" w:rsidRPr="00414E3F" w:rsidRDefault="00DD3DD1" w:rsidP="0000643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en-GB"/>
          <w14:ligatures w14:val="none"/>
        </w:rPr>
        <w:t>Expertise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: Protein purification, Circular Dichroism, Steady state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 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Kinetic assay,</w:t>
      </w:r>
      <w:r w:rsidR="00006431"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 xml:space="preserve"> Protein Modelling, Validation, Molecular Docking</w:t>
      </w:r>
    </w:p>
    <w:p w14:paraId="35E3D78C" w14:textId="57FDA766" w:rsidR="00414E3F" w:rsidRPr="00414E3F" w:rsidRDefault="00AA147E" w:rsidP="00414E3F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en-GB"/>
          <w14:ligatures w14:val="none"/>
        </w:rPr>
        <w:t>Abstract</w:t>
      </w:r>
      <w:r w:rsidRPr="00414E3F"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  <w:t>: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Antimicrobial resistance (AMR) has escalated into a global crisis</w:t>
      </w:r>
      <w:r w:rsidR="00B8419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and </w:t>
      </w:r>
      <w:r w:rsidR="00414E3F" w:rsidRPr="00414E3F">
        <w:rPr>
          <w:rFonts w:ascii="Times New Roman" w:hAnsi="Times New Roman" w:cs="Times New Roman"/>
          <w:color w:val="000000"/>
        </w:rPr>
        <w:t>Class C β-lactamase</w:t>
      </w:r>
      <w:r w:rsidR="00B84193">
        <w:rPr>
          <w:rFonts w:ascii="Times New Roman" w:hAnsi="Times New Roman" w:cs="Times New Roman"/>
          <w:color w:val="000000"/>
        </w:rPr>
        <w:t>s</w:t>
      </w:r>
      <w:r w:rsidR="00414E3F" w:rsidRPr="00414E3F">
        <w:rPr>
          <w:rFonts w:ascii="Times New Roman" w:hAnsi="Times New Roman" w:cs="Times New Roman"/>
          <w:color w:val="000000"/>
        </w:rPr>
        <w:t xml:space="preserve"> are serine-dependent hydrolases that contribute significantly to bacterial resistance against β-lactam antibiotics, particularly higher-generation cephalosporins. Among them, </w:t>
      </w:r>
      <w:r w:rsidR="00414E3F" w:rsidRPr="00414E3F">
        <w:rPr>
          <w:rFonts w:ascii="Times New Roman" w:hAnsi="Times New Roman" w:cs="Times New Roman"/>
          <w:b/>
          <w:bCs/>
          <w:color w:val="000000"/>
        </w:rPr>
        <w:t>Acinetobacter-derived cephalosporinases (ADC</w:t>
      </w:r>
      <w:r w:rsidR="00414E3F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414E3F" w:rsidRPr="00414E3F">
        <w:rPr>
          <w:rFonts w:ascii="Times New Roman" w:hAnsi="Times New Roman" w:cs="Times New Roman"/>
          <w:b/>
          <w:bCs/>
          <w:color w:val="000000"/>
        </w:rPr>
        <w:t>enzymes)</w:t>
      </w:r>
      <w:r w:rsidR="00414E3F" w:rsidRPr="00414E3F">
        <w:rPr>
          <w:rFonts w:ascii="Times New Roman" w:hAnsi="Times New Roman" w:cs="Times New Roman"/>
          <w:color w:val="000000"/>
        </w:rPr>
        <w:t xml:space="preserve"> represent clinically important and structurally dynamic variants. These enzymes possess an expanded and flexible active site, shaped by key structural elements including the Ω-loop and a spacious R2-binding pocket, which together enable efficient accommodation and hydrolysis of bulky cephalosporin substrates. Catalysis proceeds via a conserved serine-mediated acylation–deacylation mechanism, but distinct loop dynamics and active-site organization differentiate Class C enzymes from other β-lactamase classes.</w:t>
      </w:r>
    </w:p>
    <w:p w14:paraId="00D0F147" w14:textId="7D33BCA7" w:rsidR="00414E3F" w:rsidRPr="00414E3F" w:rsidRDefault="00414E3F" w:rsidP="00414E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A critical determinant of substrate specificity and catalytic efficiency in ADC enzymes lies in three flexible regions: the 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C-loop, P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2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-loop, and R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2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-loop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. Mutations within these loops drive functional diversification by modulating substrate access, positioning, and turnover. In particular, 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2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-loop mutations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are associated with expansion of the R2-binding pocket, facilitating hydrolysis of bulky cephalosporins and, in some cases, enabling carbapenem binding. 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C-loop alterations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influence substrate stabilization and transition-state formation, while 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P-loop mutations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affect catalytic residue alignment and proton transfer, collectively tuning enzymatic kinetics.</w:t>
      </w:r>
    </w:p>
    <w:p w14:paraId="6AC4D4FB" w14:textId="03E5458A" w:rsidR="00414E3F" w:rsidRPr="00414E3F" w:rsidRDefault="00414E3F" w:rsidP="00414E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Beyond β-lactam hydrolysis, certain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Class-C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variants exhibit </w:t>
      </w: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promiscuous esterase activity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, reflecting the inherent catalytic flexibility of the serine hydrolase fold. This secondary activity likely arises from loop-mediated adaptability that allows alternative substrate orientations within the active site. Furthermore, although Class C β-lactamases are traditionally considered weak carbapenemases, specific ADC variants acquire carbapenem </w:t>
      </w:r>
      <w:r w:rsidR="00B8419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hydrolysing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ability through cumulative loop mutations that expand the active site and </w:t>
      </w:r>
      <w:r w:rsidR="00B8419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optimise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catalytic water positioning.</w:t>
      </w:r>
    </w:p>
    <w:p w14:paraId="1C2B9720" w14:textId="3BD6961F" w:rsidR="00414E3F" w:rsidRPr="00414E3F" w:rsidRDefault="00414E3F" w:rsidP="00414E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Overall, ADC β-lactamases exemplify a structurally adaptable and evolutionarily plastic enzyme system in which mutations in the </w:t>
      </w:r>
      <w:proofErr w:type="gramStart"/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C,P</w:t>
      </w:r>
      <w:proofErr w:type="gramEnd"/>
      <w:r w:rsidR="00B8419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2 &amp;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R</w:t>
      </w:r>
      <w:r w:rsidR="00B84193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2 </w:t>
      </w:r>
      <w:r w:rsidRPr="00414E3F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loops drive expansion from cephalosporin specificity to broader substrate promiscuity, including esterase activity and, in certain cases, carbapenem hydrolysis. Understanding these loop-governed mechanisms provides key insights into enzyme evolution, catalytic flexibility, and the ongoing emergence of multidrug resistance.</w:t>
      </w:r>
    </w:p>
    <w:p w14:paraId="40CA461F" w14:textId="4F5161E5" w:rsidR="00AA147E" w:rsidRPr="00414E3F" w:rsidRDefault="00AA147E" w:rsidP="00414E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E731FB5" w14:textId="77777777" w:rsidR="00006431" w:rsidRPr="00414E3F" w:rsidRDefault="00AA147E" w:rsidP="00AA147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Research Paper:</w:t>
      </w:r>
      <w:r w:rsidR="00006431"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No</w:t>
      </w:r>
    </w:p>
    <w:p w14:paraId="27FE7037" w14:textId="448B48C2" w:rsidR="00AA147E" w:rsidRPr="00414E3F" w:rsidRDefault="00F6099C" w:rsidP="00AA147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414E3F">
        <w:rPr>
          <w:rFonts w:ascii="Times New Roman" w:eastAsia="Times New Roman" w:hAnsi="Times New Roman" w:cs="Times New Roman"/>
          <w:b/>
          <w:bCs/>
          <w:color w:val="000000"/>
          <w:kern w:val="0"/>
          <w:lang w:val="en-GB" w:eastAsia="en-GB"/>
          <w14:ligatures w14:val="none"/>
        </w:rPr>
        <w:t>Conferences:</w:t>
      </w:r>
    </w:p>
    <w:p w14:paraId="012CA13F" w14:textId="3FB88CBF" w:rsidR="00F6099C" w:rsidRPr="00414E3F" w:rsidRDefault="00F6099C" w:rsidP="00F6099C">
      <w:pPr>
        <w:pStyle w:val="NormalWeb"/>
        <w:overflowPunct w:val="0"/>
        <w:spacing w:before="0" w:beforeAutospacing="0" w:after="0" w:afterAutospacing="0"/>
        <w:rPr>
          <w:rFonts w:eastAsia="Helvetica"/>
          <w:color w:val="000000"/>
          <w:lang w:val="en-US"/>
        </w:rPr>
      </w:pPr>
      <w:r w:rsidRPr="00414E3F">
        <w:rPr>
          <w:rFonts w:eastAsia="Helvetica"/>
          <w:b/>
          <w:bCs/>
          <w:color w:val="000000"/>
          <w:lang w:val="en-US"/>
        </w:rPr>
        <w:t xml:space="preserve">International Conference </w:t>
      </w:r>
      <w:r w:rsidRPr="00414E3F">
        <w:rPr>
          <w:rFonts w:eastAsia="Helvetica"/>
          <w:color w:val="000000"/>
          <w:lang w:val="en-US"/>
        </w:rPr>
        <w:t xml:space="preserve">on Advances in Biotechnology, Bioprocessing &amp; Structural Biology (ICABSB 2025) (Dec 11-14, 2025) at IIT Roorkee. </w:t>
      </w:r>
    </w:p>
    <w:p w14:paraId="58A4B0E6" w14:textId="77777777" w:rsidR="009109EF" w:rsidRPr="00414E3F" w:rsidRDefault="009109EF" w:rsidP="00F6099C">
      <w:pPr>
        <w:pStyle w:val="NormalWeb"/>
        <w:overflowPunct w:val="0"/>
        <w:spacing w:before="0" w:beforeAutospacing="0" w:after="0" w:afterAutospacing="0"/>
      </w:pPr>
    </w:p>
    <w:p w14:paraId="47E36315" w14:textId="77777777" w:rsidR="00AA147E" w:rsidRPr="00414E3F" w:rsidRDefault="00AA147E" w:rsidP="00AA147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5448A6A8" w14:textId="2AF0F3FF" w:rsidR="00AA147E" w:rsidRPr="00414E3F" w:rsidRDefault="00AA147E" w:rsidP="00AA147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</w:p>
    <w:p w14:paraId="1D5055AC" w14:textId="77777777" w:rsidR="00AA147E" w:rsidRPr="00414E3F" w:rsidRDefault="00AA147E" w:rsidP="00AA147E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en-GB"/>
          <w14:ligatures w14:val="none"/>
        </w:rPr>
      </w:pPr>
    </w:p>
    <w:sectPr w:rsidR="00AA147E" w:rsidRPr="00414E3F" w:rsidSect="009D0162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F186F" w14:textId="77777777" w:rsidR="006D340C" w:rsidRDefault="006D340C">
      <w:pPr>
        <w:spacing w:after="0" w:line="240" w:lineRule="auto"/>
      </w:pPr>
      <w:r>
        <w:separator/>
      </w:r>
    </w:p>
  </w:endnote>
  <w:endnote w:type="continuationSeparator" w:id="0">
    <w:p w14:paraId="5C1C39C6" w14:textId="77777777" w:rsidR="006D340C" w:rsidRDefault="006D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32170526"/>
      <w:docPartObj>
        <w:docPartGallery w:val="Page Numbers (Bottom of Page)"/>
        <w:docPartUnique/>
      </w:docPartObj>
    </w:sdtPr>
    <w:sdtContent>
      <w:p w14:paraId="575DCE5F" w14:textId="77777777" w:rsidR="00504B44" w:rsidRDefault="0088134A" w:rsidP="009D016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C2E60F" w14:textId="77777777" w:rsidR="00504B44" w:rsidRDefault="00504B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00945903"/>
      <w:docPartObj>
        <w:docPartGallery w:val="Page Numbers (Bottom of Page)"/>
        <w:docPartUnique/>
      </w:docPartObj>
    </w:sdtPr>
    <w:sdtContent>
      <w:p w14:paraId="2569D2B9" w14:textId="77777777" w:rsidR="00504B44" w:rsidRDefault="0088134A" w:rsidP="00B872B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7C5D853" w14:textId="77777777" w:rsidR="00504B44" w:rsidRDefault="00504B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C6D1" w14:textId="77777777" w:rsidR="006D340C" w:rsidRDefault="006D340C">
      <w:pPr>
        <w:spacing w:after="0" w:line="240" w:lineRule="auto"/>
      </w:pPr>
      <w:r>
        <w:separator/>
      </w:r>
    </w:p>
  </w:footnote>
  <w:footnote w:type="continuationSeparator" w:id="0">
    <w:p w14:paraId="0A39979D" w14:textId="77777777" w:rsidR="006D340C" w:rsidRDefault="006D3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6AEC"/>
    <w:multiLevelType w:val="multilevel"/>
    <w:tmpl w:val="BFEE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EC73D4"/>
    <w:multiLevelType w:val="multilevel"/>
    <w:tmpl w:val="A29A5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639C9"/>
    <w:multiLevelType w:val="multilevel"/>
    <w:tmpl w:val="0DEA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95E22"/>
    <w:multiLevelType w:val="multilevel"/>
    <w:tmpl w:val="2020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8D5469"/>
    <w:multiLevelType w:val="multilevel"/>
    <w:tmpl w:val="22DCC7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A608F"/>
    <w:multiLevelType w:val="multilevel"/>
    <w:tmpl w:val="4664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F12873"/>
    <w:multiLevelType w:val="multilevel"/>
    <w:tmpl w:val="0764E3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A53FB3"/>
    <w:multiLevelType w:val="multilevel"/>
    <w:tmpl w:val="EDE40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7107F8"/>
    <w:multiLevelType w:val="hybridMultilevel"/>
    <w:tmpl w:val="81F0512A"/>
    <w:lvl w:ilvl="0" w:tplc="8FB49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B2260"/>
    <w:multiLevelType w:val="multilevel"/>
    <w:tmpl w:val="26EC7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F94E48"/>
    <w:multiLevelType w:val="multilevel"/>
    <w:tmpl w:val="C4B4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B41558"/>
    <w:multiLevelType w:val="hybridMultilevel"/>
    <w:tmpl w:val="099CED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320E8B"/>
    <w:multiLevelType w:val="multilevel"/>
    <w:tmpl w:val="5B7870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567918">
    <w:abstractNumId w:val="7"/>
  </w:num>
  <w:num w:numId="2" w16cid:durableId="1053654108">
    <w:abstractNumId w:val="3"/>
  </w:num>
  <w:num w:numId="3" w16cid:durableId="20325192">
    <w:abstractNumId w:val="4"/>
  </w:num>
  <w:num w:numId="4" w16cid:durableId="62486160">
    <w:abstractNumId w:val="5"/>
  </w:num>
  <w:num w:numId="5" w16cid:durableId="198246867">
    <w:abstractNumId w:val="6"/>
  </w:num>
  <w:num w:numId="6" w16cid:durableId="695932711">
    <w:abstractNumId w:val="2"/>
  </w:num>
  <w:num w:numId="7" w16cid:durableId="424693060">
    <w:abstractNumId w:val="12"/>
  </w:num>
  <w:num w:numId="8" w16cid:durableId="1392188728">
    <w:abstractNumId w:val="10"/>
  </w:num>
  <w:num w:numId="9" w16cid:durableId="1852376782">
    <w:abstractNumId w:val="1"/>
  </w:num>
  <w:num w:numId="10" w16cid:durableId="238760090">
    <w:abstractNumId w:val="8"/>
  </w:num>
  <w:num w:numId="11" w16cid:durableId="1945264899">
    <w:abstractNumId w:val="0"/>
  </w:num>
  <w:num w:numId="12" w16cid:durableId="56976222">
    <w:abstractNumId w:val="9"/>
  </w:num>
  <w:num w:numId="13" w16cid:durableId="19382482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08"/>
    <w:rsid w:val="00006431"/>
    <w:rsid w:val="000A3992"/>
    <w:rsid w:val="000C3C19"/>
    <w:rsid w:val="000F5D19"/>
    <w:rsid w:val="000F61C8"/>
    <w:rsid w:val="001C4725"/>
    <w:rsid w:val="001E42A0"/>
    <w:rsid w:val="00211671"/>
    <w:rsid w:val="00304B85"/>
    <w:rsid w:val="00375338"/>
    <w:rsid w:val="003B163E"/>
    <w:rsid w:val="00414E3F"/>
    <w:rsid w:val="00504B44"/>
    <w:rsid w:val="005707C4"/>
    <w:rsid w:val="006013B6"/>
    <w:rsid w:val="006D340C"/>
    <w:rsid w:val="007A3408"/>
    <w:rsid w:val="008160AD"/>
    <w:rsid w:val="00865DE1"/>
    <w:rsid w:val="0088134A"/>
    <w:rsid w:val="008A367D"/>
    <w:rsid w:val="008C3EF2"/>
    <w:rsid w:val="009109EF"/>
    <w:rsid w:val="00914A6F"/>
    <w:rsid w:val="0093706E"/>
    <w:rsid w:val="00976EC3"/>
    <w:rsid w:val="00AA147E"/>
    <w:rsid w:val="00B22DF4"/>
    <w:rsid w:val="00B84193"/>
    <w:rsid w:val="00C407E4"/>
    <w:rsid w:val="00CB33C3"/>
    <w:rsid w:val="00D27BB4"/>
    <w:rsid w:val="00D517ED"/>
    <w:rsid w:val="00DD3DD1"/>
    <w:rsid w:val="00E971DE"/>
    <w:rsid w:val="00F6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925C5"/>
  <w15:chartTrackingRefBased/>
  <w15:docId w15:val="{A775B9C7-56B8-4013-B3C1-774C58E1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34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13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34A"/>
    <w:rPr>
      <w:kern w:val="2"/>
      <w:sz w:val="24"/>
      <w:szCs w:val="24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88134A"/>
  </w:style>
  <w:style w:type="character" w:styleId="Hyperlink">
    <w:name w:val="Hyperlink"/>
    <w:basedOn w:val="DefaultParagraphFont"/>
    <w:uiPriority w:val="99"/>
    <w:unhideWhenUsed/>
    <w:rsid w:val="008813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3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16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5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865DE1"/>
  </w:style>
  <w:style w:type="character" w:styleId="Strong">
    <w:name w:val="Strong"/>
    <w:basedOn w:val="DefaultParagraphFont"/>
    <w:uiPriority w:val="22"/>
    <w:qFormat/>
    <w:rsid w:val="00865DE1"/>
    <w:rPr>
      <w:b/>
      <w:bCs/>
    </w:rPr>
  </w:style>
  <w:style w:type="paragraph" w:styleId="ListParagraph">
    <w:name w:val="List Paragraph"/>
    <w:basedOn w:val="Normal"/>
    <w:uiPriority w:val="34"/>
    <w:qFormat/>
    <w:rsid w:val="00AA1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StructuralSafetyLab</dc:creator>
  <cp:keywords/>
  <dc:description/>
  <cp:lastModifiedBy>ANSHIKA GUPTA</cp:lastModifiedBy>
  <cp:revision>2</cp:revision>
  <dcterms:created xsi:type="dcterms:W3CDTF">2026-05-06T20:57:00Z</dcterms:created>
  <dcterms:modified xsi:type="dcterms:W3CDTF">2026-05-06T20:57:00Z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a145e3e0-cd38-497f-ac6b-84bf00733f96</vt:lpwstr>
  </property>
</Properties>
</file>