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Space Grotesk" w:cs="Space Grotesk" w:eastAsia="Space Grotesk" w:hAnsi="Space Grotesk"/>
          <w:b w:val="1"/>
          <w:bCs w:val="1"/>
          <w:color w:val="002e32"/>
        </w:rPr>
      </w:pPr>
      <w:bookmarkStart w:colFirst="0" w:colLast="0" w:name="_4d7w7ohyyu39" w:id="0"/>
      <w:bookmarkEnd w:id="0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01.05 Worksheet: Job Application </w:t>
      </w:r>
    </w:p>
    <w:tbl>
      <w:tblPr>
        <w:tblStyle w:val="Table1"/>
        <w:tblW w:w="65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5610"/>
        <w:tblGridChange w:id="0">
          <w:tblGrid>
            <w:gridCol w:w="930"/>
            <w:gridCol w:w="56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Style w:val="Heading2"/>
        <w:rPr/>
      </w:pPr>
      <w:bookmarkStart w:colFirst="0" w:colLast="0" w:name="_b8w4omvueomp" w:id="1"/>
      <w:bookmarkEnd w:id="1"/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Space Grotesk" w:cs="Space Grotesk" w:eastAsia="Space Grotesk" w:hAnsi="Space Grotesk"/>
          <w:color w:val="002e32"/>
          <w:rtl w:val="0"/>
        </w:rPr>
        <w:t xml:space="preserve">Instructions: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spacing w:after="0" w:afterAutospacing="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Open </w:t>
      </w:r>
      <w:hyperlink r:id="rId6">
        <w:r w:rsidDel="00000000" w:rsidR="00000000" w:rsidRPr="00000000">
          <w:rPr>
            <w:rFonts w:ascii="Roboto" w:cs="Roboto" w:eastAsia="Roboto" w:hAnsi="Roboto"/>
            <w:color w:val="1155cc"/>
            <w:u w:val="single"/>
            <w:rtl w:val="0"/>
          </w:rPr>
          <w:t xml:space="preserve">Lumen</w:t>
        </w:r>
      </w:hyperlink>
      <w:r w:rsidDel="00000000" w:rsidR="00000000" w:rsidRPr="00000000">
        <w:rPr>
          <w:rFonts w:ascii="Roboto" w:cs="Roboto" w:eastAsia="Roboto" w:hAnsi="Roboto"/>
          <w:rtl w:val="0"/>
        </w:rPr>
        <w:t xml:space="preserve"> on the Activity: Job Application page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spacing w:after="0" w:afterAutospacing="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Select a “Fast food chain retail” job application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spacing w:after="0" w:afterAutospacing="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Read the job application.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spacing w:after="0" w:afterAutospacing="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Select “Change the tone”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spacing w:after="32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Now adjust the tone of the letter to three different styles: slapdash, flowery and formal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320" w:line="240" w:lineRule="auto"/>
        <w:ind w:left="0" w:firstLine="0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What differences do you notice between the different application letters? Look at length of words, sentences and complexity of words.</w:t>
      </w:r>
    </w:p>
    <w:tbl>
      <w:tblPr>
        <w:tblStyle w:val="Table2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widowControl w:val="0"/>
        <w:spacing w:after="0" w:line="24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after="0" w:line="240" w:lineRule="auto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br w:type="textWrapping"/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Which person would you hire and why?</w:t>
      </w:r>
    </w:p>
    <w:p w:rsidR="00000000" w:rsidDel="00000000" w:rsidP="00000000" w:rsidRDefault="00000000" w:rsidRPr="00000000" w14:paraId="00000017">
      <w:pPr>
        <w:widowControl w:val="0"/>
        <w:spacing w:after="0" w:line="240" w:lineRule="auto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pStyle w:val="Heading2"/>
        <w:widowControl w:val="0"/>
        <w:spacing w:after="0" w:line="240" w:lineRule="auto"/>
        <w:rPr>
          <w:rFonts w:ascii="Roboto" w:cs="Roboto" w:eastAsia="Roboto" w:hAnsi="Roboto"/>
        </w:rPr>
      </w:pPr>
      <w:bookmarkStart w:colFirst="0" w:colLast="0" w:name="_q4yr4dchn7pa" w:id="2"/>
      <w:bookmarkEnd w:id="2"/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pace Grotesk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4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026"/>
      <w:tblGridChange w:id="0">
        <w:tblGrid>
          <w:gridCol w:w="9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e8ff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0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  <w:rtl w:val="0"/>
            </w:rPr>
            <w:t xml:space="preserve">License Information</w:t>
          </w:r>
        </w:p>
        <w:p w:rsidR="00000000" w:rsidDel="00000000" w:rsidP="00000000" w:rsidRDefault="00000000" w:rsidRPr="00000000" w14:paraId="00000021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27336b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These </w:t>
          </w:r>
          <w:hyperlink r:id="rId1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Tech Futures Australia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 lessons plans, worksheets, and other materials were created by Sarah Boyd and Daniel Hickmott. They are licensed under a </w:t>
          </w:r>
          <w:hyperlink r:id="rId2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Creative Commons Attribution-ShareAlike 4.0 International License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2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rPr/>
    </w:pPr>
    <w:r w:rsidDel="00000000" w:rsidR="00000000" w:rsidRPr="00000000">
      <w:rPr/>
      <w:drawing>
        <wp:inline distB="114300" distT="114300" distL="114300" distR="114300">
          <wp:extent cx="1576388" cy="52546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76388" cy="5254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lumenlearn.ai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SpaceGrotesk-regular.ttf"/><Relationship Id="rId6" Type="http://schemas.openxmlformats.org/officeDocument/2006/relationships/font" Target="fonts/SpaceGrotesk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fa.org.au" TargetMode="External"/><Relationship Id="rId2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