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02.06 Uses of AI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  <w:color w:val="002e32"/>
        </w:rPr>
      </w:pPr>
      <w:bookmarkStart w:colFirst="0" w:colLast="0" w:name="_pzs8estyqv62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sz w:val="22"/>
          <w:szCs w:val="22"/>
        </w:rPr>
      </w:pPr>
      <w:bookmarkStart w:colFirst="0" w:colLast="0" w:name="_7ob3hsrmvok" w:id="2"/>
      <w:bookmarkEnd w:id="2"/>
      <w:r w:rsidDel="00000000" w:rsidR="00000000" w:rsidRPr="00000000">
        <w:rPr>
          <w:sz w:val="22"/>
          <w:szCs w:val="22"/>
          <w:rtl w:val="0"/>
        </w:rPr>
        <w:t xml:space="preserve">Using Lumen on the activity page, choose one of the types of AI (Generative, Classification or Predictive) and then an area (Entertainment, Health, Sports or Business).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Write the type of AI and area that you chose in Lumen below: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Write down one of the uses of AI that you had not heard of or that surprised you.</w:t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572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If the AI made the wrong decision, who could be affected and what could happen next?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572.9785156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B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C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F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0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