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7EB2" w14:textId="77777777" w:rsidR="007B24AA" w:rsidRDefault="007B24AA" w:rsidP="007B24AA">
      <w:pPr>
        <w:jc w:val="center"/>
        <w:rPr>
          <w:sz w:val="36"/>
          <w:szCs w:val="36"/>
        </w:rPr>
      </w:pPr>
    </w:p>
    <w:p w14:paraId="111D3DE5" w14:textId="77777777" w:rsidR="007B24AA" w:rsidRDefault="007B24AA" w:rsidP="007B24AA">
      <w:pPr>
        <w:jc w:val="center"/>
        <w:rPr>
          <w:sz w:val="36"/>
          <w:szCs w:val="36"/>
        </w:rPr>
      </w:pPr>
    </w:p>
    <w:p w14:paraId="047FFB20" w14:textId="39D955D4" w:rsidR="007B24AA" w:rsidRDefault="007B24AA" w:rsidP="007B24AA">
      <w:pPr>
        <w:rPr>
          <w:sz w:val="36"/>
          <w:szCs w:val="36"/>
        </w:rPr>
      </w:pPr>
    </w:p>
    <w:p w14:paraId="3CD1B213" w14:textId="77777777" w:rsidR="007B24AA" w:rsidRDefault="007B24AA" w:rsidP="007B24AA">
      <w:pPr>
        <w:jc w:val="center"/>
        <w:rPr>
          <w:sz w:val="36"/>
          <w:szCs w:val="36"/>
        </w:rPr>
      </w:pPr>
    </w:p>
    <w:p w14:paraId="53A94643" w14:textId="77777777" w:rsidR="007B24AA" w:rsidRDefault="007B24AA" w:rsidP="007B24AA">
      <w:pPr>
        <w:jc w:val="center"/>
        <w:rPr>
          <w:sz w:val="36"/>
          <w:szCs w:val="36"/>
        </w:rPr>
      </w:pPr>
    </w:p>
    <w:p w14:paraId="7BBED685" w14:textId="77777777" w:rsidR="00FF37E4" w:rsidRDefault="00FF37E4" w:rsidP="00FF37E4">
      <w:pPr>
        <w:pStyle w:val="Heading1"/>
        <w:spacing w:after="0"/>
        <w:jc w:val="center"/>
        <w:rPr>
          <w:b/>
          <w:bCs/>
          <w:color w:val="338B3C"/>
          <w:sz w:val="44"/>
          <w:szCs w:val="44"/>
        </w:rPr>
      </w:pPr>
      <w:r>
        <w:rPr>
          <w:b/>
          <w:bCs/>
          <w:color w:val="338B3C"/>
          <w:sz w:val="44"/>
          <w:szCs w:val="44"/>
        </w:rPr>
        <w:t>Opening Address</w:t>
      </w:r>
    </w:p>
    <w:p w14:paraId="2FB83F59" w14:textId="7F2BB294" w:rsidR="00FF37E4" w:rsidRDefault="00FF37E4" w:rsidP="00FF37E4">
      <w:pPr>
        <w:pStyle w:val="Heading1"/>
        <w:spacing w:after="0"/>
        <w:jc w:val="center"/>
        <w:rPr>
          <w:b/>
          <w:bCs/>
          <w:color w:val="338B3C"/>
          <w:sz w:val="44"/>
          <w:szCs w:val="44"/>
        </w:rPr>
      </w:pPr>
      <w:r>
        <w:rPr>
          <w:b/>
          <w:bCs/>
          <w:color w:val="338B3C"/>
          <w:sz w:val="44"/>
          <w:szCs w:val="44"/>
        </w:rPr>
        <w:t>Energy Users</w:t>
      </w:r>
      <w:r w:rsidR="00732597">
        <w:rPr>
          <w:b/>
          <w:bCs/>
          <w:color w:val="338B3C"/>
          <w:sz w:val="44"/>
          <w:szCs w:val="44"/>
        </w:rPr>
        <w:t>’ A</w:t>
      </w:r>
      <w:r>
        <w:rPr>
          <w:b/>
          <w:bCs/>
          <w:color w:val="338B3C"/>
          <w:sz w:val="44"/>
          <w:szCs w:val="44"/>
        </w:rPr>
        <w:t>ssociation of Australia Conference</w:t>
      </w:r>
    </w:p>
    <w:p w14:paraId="51BEA060" w14:textId="77777777" w:rsidR="00FF37E4" w:rsidRDefault="00FF37E4" w:rsidP="00FF37E4">
      <w:pPr>
        <w:pStyle w:val="Heading1"/>
        <w:spacing w:after="0"/>
        <w:jc w:val="center"/>
        <w:rPr>
          <w:b/>
          <w:bCs/>
          <w:color w:val="338B3C"/>
          <w:sz w:val="44"/>
          <w:szCs w:val="44"/>
        </w:rPr>
      </w:pPr>
    </w:p>
    <w:p w14:paraId="142D151F" w14:textId="7721A524" w:rsidR="007B24AA" w:rsidRDefault="00FF37E4" w:rsidP="00FF37E4">
      <w:pPr>
        <w:pStyle w:val="Heading1"/>
        <w:spacing w:after="0"/>
        <w:jc w:val="center"/>
        <w:rPr>
          <w:b/>
          <w:bCs/>
          <w:color w:val="338B3C"/>
          <w:sz w:val="44"/>
          <w:szCs w:val="44"/>
        </w:rPr>
      </w:pPr>
      <w:r>
        <w:rPr>
          <w:b/>
          <w:bCs/>
          <w:color w:val="338B3C"/>
          <w:sz w:val="44"/>
          <w:szCs w:val="44"/>
        </w:rPr>
        <w:t>After The 2025 Election</w:t>
      </w:r>
      <w:r w:rsidR="00732597">
        <w:rPr>
          <w:b/>
          <w:bCs/>
          <w:color w:val="338B3C"/>
          <w:sz w:val="44"/>
          <w:szCs w:val="44"/>
        </w:rPr>
        <w:t>: Energy Trans</w:t>
      </w:r>
      <w:r w:rsidR="0017453F">
        <w:rPr>
          <w:b/>
          <w:bCs/>
          <w:color w:val="338B3C"/>
          <w:sz w:val="44"/>
          <w:szCs w:val="44"/>
        </w:rPr>
        <w:t>it</w:t>
      </w:r>
      <w:r w:rsidR="00732597">
        <w:rPr>
          <w:b/>
          <w:bCs/>
          <w:color w:val="338B3C"/>
          <w:sz w:val="44"/>
          <w:szCs w:val="44"/>
        </w:rPr>
        <w:t>ion and Restoration of Australian Growth</w:t>
      </w:r>
      <w:r>
        <w:rPr>
          <w:b/>
          <w:bCs/>
          <w:color w:val="338B3C"/>
          <w:sz w:val="44"/>
          <w:szCs w:val="44"/>
        </w:rPr>
        <w:t xml:space="preserve"> </w:t>
      </w:r>
    </w:p>
    <w:p w14:paraId="2D78D26E" w14:textId="77777777" w:rsidR="00FF37E4" w:rsidRPr="00FF37E4" w:rsidRDefault="00FF37E4" w:rsidP="00FF37E4"/>
    <w:p w14:paraId="6ED7219E" w14:textId="436C7C9A" w:rsidR="007B24AA" w:rsidRPr="007B24AA" w:rsidRDefault="00FF37E4" w:rsidP="007B24AA">
      <w:pPr>
        <w:pStyle w:val="Heading1"/>
        <w:spacing w:before="0" w:after="0"/>
        <w:jc w:val="center"/>
        <w:rPr>
          <w:b/>
          <w:bCs/>
          <w:color w:val="338B3C"/>
        </w:rPr>
      </w:pPr>
      <w:r>
        <w:rPr>
          <w:b/>
          <w:bCs/>
          <w:color w:val="338B3C"/>
        </w:rPr>
        <w:t>7 May 2025</w:t>
      </w:r>
    </w:p>
    <w:p w14:paraId="744E4697" w14:textId="0877968C" w:rsidR="007B24AA" w:rsidRPr="00C0039F" w:rsidRDefault="007B24AA" w:rsidP="007B24AA">
      <w:pPr>
        <w:pStyle w:val="Heading1"/>
        <w:spacing w:before="0" w:after="0"/>
        <w:jc w:val="center"/>
        <w:rPr>
          <w:rFonts w:asciiTheme="minorHAnsi" w:hAnsiTheme="minorHAnsi"/>
          <w:b/>
          <w:bCs/>
          <w:color w:val="000000" w:themeColor="text1"/>
          <w:sz w:val="44"/>
          <w:szCs w:val="44"/>
        </w:rPr>
      </w:pPr>
      <w:r w:rsidRPr="00C0039F">
        <w:rPr>
          <w:rFonts w:asciiTheme="minorHAnsi" w:hAnsiTheme="minorHAnsi"/>
          <w:b/>
          <w:bCs/>
          <w:color w:val="000000" w:themeColor="text1"/>
          <w:sz w:val="44"/>
          <w:szCs w:val="44"/>
        </w:rPr>
        <w:t>Professor Ross Garnaut AC</w:t>
      </w:r>
    </w:p>
    <w:p w14:paraId="6E5E6E1A" w14:textId="05CEBB30" w:rsidR="007B24AA" w:rsidRPr="007B24AA" w:rsidRDefault="007B24AA" w:rsidP="007B24AA">
      <w:pPr>
        <w:jc w:val="center"/>
      </w:pPr>
      <w:r w:rsidRPr="007B24AA">
        <w:t>Professor Emeritus of Economics and Business, The University of</w:t>
      </w:r>
      <w:r w:rsidRPr="00C0039F">
        <w:t xml:space="preserve"> </w:t>
      </w:r>
      <w:r w:rsidRPr="007B24AA">
        <w:t>Melbourne</w:t>
      </w:r>
    </w:p>
    <w:p w14:paraId="37B2C9F7" w14:textId="5947EF4B" w:rsidR="007B24AA" w:rsidRPr="007B24AA" w:rsidRDefault="007B24AA" w:rsidP="007B24AA">
      <w:pPr>
        <w:jc w:val="center"/>
      </w:pPr>
      <w:r w:rsidRPr="007B24AA">
        <w:t>Professor Emeritus of Economics, The Australian National University</w:t>
      </w:r>
    </w:p>
    <w:p w14:paraId="60FADF92" w14:textId="134F038D" w:rsidR="007B24AA" w:rsidRPr="007B24AA" w:rsidRDefault="007B24AA" w:rsidP="007B24AA">
      <w:pPr>
        <w:jc w:val="center"/>
      </w:pPr>
      <w:r w:rsidRPr="007B24AA">
        <w:t>Director, The Superpower Institute</w:t>
      </w:r>
    </w:p>
    <w:p w14:paraId="4C4AD294" w14:textId="77777777" w:rsidR="00050BD1" w:rsidRDefault="007B24AA" w:rsidP="00050BD1">
      <w:pPr>
        <w:jc w:val="center"/>
        <w:rPr>
          <w:sz w:val="40"/>
          <w:szCs w:val="40"/>
        </w:rPr>
      </w:pPr>
      <w:r w:rsidRPr="007B24AA">
        <w:t>Director, ZE</w:t>
      </w:r>
      <w:r w:rsidR="00FF37E4">
        <w:t>N ENERGY</w:t>
      </w:r>
      <w:r w:rsidRPr="00C0039F">
        <w:rPr>
          <w:sz w:val="40"/>
          <w:szCs w:val="40"/>
        </w:rPr>
        <w:br w:type="page"/>
      </w:r>
    </w:p>
    <w:p w14:paraId="1C5A0BA4" w14:textId="5F721DC2" w:rsidR="00E506FD" w:rsidRDefault="00E506FD" w:rsidP="00050BD1">
      <w:pPr>
        <w:pStyle w:val="Heading1"/>
      </w:pPr>
      <w:r>
        <w:lastRenderedPageBreak/>
        <w:t>An Historic Election</w:t>
      </w:r>
    </w:p>
    <w:p w14:paraId="17556F58" w14:textId="19ADED89" w:rsidR="000E4A2F" w:rsidRDefault="0039297D" w:rsidP="0039297D">
      <w:r>
        <w:t xml:space="preserve">Australia has had </w:t>
      </w:r>
      <w:r w:rsidR="00C50714">
        <w:t>insecure</w:t>
      </w:r>
      <w:r>
        <w:t xml:space="preserve"> governments looking over their shoulde</w:t>
      </w:r>
      <w:r w:rsidR="00732597">
        <w:t>rs</w:t>
      </w:r>
      <w:r>
        <w:t xml:space="preserve"> at political threat for one and a half decades. None of the Gillard, Abbott, Turnbull, Morrison and first term Albanese Government</w:t>
      </w:r>
      <w:r w:rsidR="00B300E5">
        <w:t>s</w:t>
      </w:r>
      <w:r>
        <w:t xml:space="preserve"> had substantial majorities in the House of </w:t>
      </w:r>
      <w:r w:rsidR="00732597">
        <w:t>R</w:t>
      </w:r>
      <w:r>
        <w:t>epresentatives</w:t>
      </w:r>
      <w:r w:rsidR="00C50714">
        <w:t xml:space="preserve">. </w:t>
      </w:r>
      <w:r w:rsidR="000E4A2F">
        <w:t xml:space="preserve">None ever stood so high in electoral standing that </w:t>
      </w:r>
      <w:r w:rsidR="00FF37E4">
        <w:t>it</w:t>
      </w:r>
      <w:r w:rsidR="000E4A2F">
        <w:t xml:space="preserve"> felt able to take the risk of implementing policy reform </w:t>
      </w:r>
      <w:r w:rsidR="00FF37E4">
        <w:t xml:space="preserve">in the public interest </w:t>
      </w:r>
      <w:r w:rsidR="000E4A2F">
        <w:t xml:space="preserve">that could be distorted for </w:t>
      </w:r>
      <w:r w:rsidR="0065522F">
        <w:t xml:space="preserve">their </w:t>
      </w:r>
      <w:r w:rsidR="000E4A2F">
        <w:t>opposition</w:t>
      </w:r>
      <w:r w:rsidR="0065522F">
        <w:t>’s</w:t>
      </w:r>
      <w:r w:rsidR="000E4A2F">
        <w:t xml:space="preserve"> political benefit. </w:t>
      </w:r>
      <w:r w:rsidR="00C50714">
        <w:t xml:space="preserve">None </w:t>
      </w:r>
      <w:proofErr w:type="gramStart"/>
      <w:r w:rsidR="00C50714">
        <w:t xml:space="preserve">had </w:t>
      </w:r>
      <w:r>
        <w:t xml:space="preserve"> a</w:t>
      </w:r>
      <w:proofErr w:type="gramEnd"/>
      <w:r>
        <w:t xml:space="preserve"> chance to develop policies in the na</w:t>
      </w:r>
      <w:r w:rsidR="00C50714">
        <w:t>tion</w:t>
      </w:r>
      <w:r>
        <w:t xml:space="preserve">al interest that take years to mature </w:t>
      </w:r>
      <w:r w:rsidR="00C50714">
        <w:t xml:space="preserve">and to win broadly based electoral support. </w:t>
      </w:r>
    </w:p>
    <w:p w14:paraId="50EDDBD9" w14:textId="77777777" w:rsidR="00732597" w:rsidRDefault="00732597" w:rsidP="0039297D"/>
    <w:p w14:paraId="42C61CFB" w14:textId="62A15BE5" w:rsidR="00732597" w:rsidRDefault="00732597" w:rsidP="0039297D">
      <w:r>
        <w:t>At least, that was the perception of leaders of those Governments. They might have done better electorally from stronger definition of polic</w:t>
      </w:r>
      <w:r w:rsidR="002F032D">
        <w:t>ies</w:t>
      </w:r>
      <w:r>
        <w:t xml:space="preserve"> in the national interest, and bold implementation of them. Or not. It is impossible to argue now that Albanese would have done better</w:t>
      </w:r>
      <w:r w:rsidR="0017453F">
        <w:t xml:space="preserve"> elect</w:t>
      </w:r>
      <w:r w:rsidR="00366DE8">
        <w:t>ora</w:t>
      </w:r>
      <w:r w:rsidR="0017453F">
        <w:t>lly with a different approach</w:t>
      </w:r>
      <w:r>
        <w:t xml:space="preserve">. </w:t>
      </w:r>
    </w:p>
    <w:p w14:paraId="05495688" w14:textId="77777777" w:rsidR="000E4A2F" w:rsidRDefault="000E4A2F" w:rsidP="0039297D"/>
    <w:p w14:paraId="41B9AB14" w14:textId="304D7DBF" w:rsidR="0065522F" w:rsidRDefault="00C50714" w:rsidP="0039297D">
      <w:r>
        <w:t xml:space="preserve">This </w:t>
      </w:r>
      <w:r w:rsidR="000E4A2F">
        <w:t>one and a half decades</w:t>
      </w:r>
      <w:r>
        <w:t xml:space="preserve"> coincided with structural change in the communications media through which Australians absorb political information</w:t>
      </w:r>
      <w:r w:rsidR="00732597">
        <w:t xml:space="preserve">. Change favoured </w:t>
      </w:r>
      <w:proofErr w:type="gramStart"/>
      <w:r>
        <w:t>short term</w:t>
      </w:r>
      <w:proofErr w:type="gramEnd"/>
      <w:r>
        <w:t xml:space="preserve"> attack over </w:t>
      </w:r>
      <w:r w:rsidR="000E4A2F">
        <w:t xml:space="preserve">development of </w:t>
      </w:r>
      <w:r>
        <w:t xml:space="preserve">knowledge-based solutions to </w:t>
      </w:r>
      <w:r w:rsidR="000E4A2F">
        <w:t>long-term problems</w:t>
      </w:r>
      <w:r>
        <w:t xml:space="preserve">. </w:t>
      </w:r>
    </w:p>
    <w:p w14:paraId="0C069B0B" w14:textId="77777777" w:rsidR="00732597" w:rsidRDefault="00732597" w:rsidP="0039297D"/>
    <w:p w14:paraId="7E44C185" w14:textId="755D1844" w:rsidR="00293160" w:rsidRDefault="00732597" w:rsidP="0039297D">
      <w:r>
        <w:t>Energy policy and Australia’s partic</w:t>
      </w:r>
      <w:r w:rsidR="00F72E24">
        <w:t>i</w:t>
      </w:r>
      <w:r>
        <w:t xml:space="preserve">pation in the necessary </w:t>
      </w:r>
      <w:proofErr w:type="gramStart"/>
      <w:r>
        <w:t>global  movement</w:t>
      </w:r>
      <w:proofErr w:type="gramEnd"/>
      <w:r>
        <w:t xml:space="preserve"> to net zero emissions was ground zero for </w:t>
      </w:r>
      <w:r w:rsidR="0033183B">
        <w:t xml:space="preserve">political conflict and policy instability. That </w:t>
      </w:r>
      <w:r w:rsidR="00050BD1">
        <w:t>has made energy supply more expensive and less secure.</w:t>
      </w:r>
      <w:r w:rsidR="00050BD1">
        <w:t xml:space="preserve"> It </w:t>
      </w:r>
      <w:r w:rsidR="0033183B">
        <w:t xml:space="preserve">has been costly to investment and productivity in energy production and use. It </w:t>
      </w:r>
      <w:proofErr w:type="spellStart"/>
      <w:r w:rsidR="00293160">
        <w:t>It</w:t>
      </w:r>
      <w:proofErr w:type="spellEnd"/>
      <w:r w:rsidR="00293160">
        <w:t xml:space="preserve"> has postpon</w:t>
      </w:r>
      <w:r w:rsidR="0033183B">
        <w:t xml:space="preserve">ed the time at which Australia could take advantage of its extraordinary </w:t>
      </w:r>
      <w:r w:rsidR="00050BD1">
        <w:t>resource</w:t>
      </w:r>
      <w:r w:rsidR="0033183B">
        <w:t xml:space="preserve">s </w:t>
      </w:r>
      <w:r w:rsidR="00050BD1">
        <w:t>for</w:t>
      </w:r>
      <w:r w:rsidR="0033183B">
        <w:t xml:space="preserve"> producing zero carbon electricity, and its comparative advantage in production of energy-intensive goods in the zero-carbon world. </w:t>
      </w:r>
    </w:p>
    <w:p w14:paraId="3BE44185" w14:textId="77777777" w:rsidR="00293160" w:rsidRDefault="00293160" w:rsidP="0039297D"/>
    <w:p w14:paraId="5B8BFA70" w14:textId="388812E6" w:rsidR="00900AD6" w:rsidRDefault="00483CBC" w:rsidP="003C3D1A">
      <w:pPr>
        <w:jc w:val="both"/>
      </w:pPr>
      <w:r>
        <w:t xml:space="preserve">Companies represented here in this energy users’ conference have contributed their fair shares to the </w:t>
      </w:r>
      <w:r w:rsidR="00B300E5">
        <w:t xml:space="preserve">dysfunctional </w:t>
      </w:r>
      <w:r>
        <w:t xml:space="preserve">political disputation that has disrupted </w:t>
      </w:r>
      <w:r w:rsidR="003C3D1A">
        <w:t>and</w:t>
      </w:r>
      <w:r>
        <w:t xml:space="preserve"> blocked good policy over the past dozen years. </w:t>
      </w:r>
      <w:r w:rsidR="00B300E5">
        <w:t>Few companies now would prefer the instability and d</w:t>
      </w:r>
      <w:r w:rsidR="003C3D1A">
        <w:t>y</w:t>
      </w:r>
      <w:r w:rsidR="00B300E5">
        <w:t xml:space="preserve">sfunction </w:t>
      </w:r>
      <w:r w:rsidR="003C3D1A">
        <w:t xml:space="preserve">of the past dozen years </w:t>
      </w:r>
      <w:r w:rsidR="00B300E5">
        <w:t xml:space="preserve">to the carbon pricing that was working effectively from mid-2012 to mid-2014. But </w:t>
      </w:r>
      <w:r w:rsidR="003C3D1A">
        <w:t>ma</w:t>
      </w:r>
      <w:r w:rsidR="00050BD1">
        <w:t>jor energy</w:t>
      </w:r>
      <w:r w:rsidR="003C3D1A">
        <w:t xml:space="preserve"> companies contributed to the destruction of a sound, market-friendly approach to removing emissions. With</w:t>
      </w:r>
      <w:r w:rsidR="00B300E5">
        <w:t xml:space="preserve"> all </w:t>
      </w:r>
      <w:r w:rsidR="003C3D1A">
        <w:t>energy users pushing</w:t>
      </w:r>
      <w:r w:rsidR="00B300E5">
        <w:t xml:space="preserve"> for something that suited </w:t>
      </w:r>
      <w:proofErr w:type="gramStart"/>
      <w:r w:rsidR="00B300E5">
        <w:t>ourselves</w:t>
      </w:r>
      <w:proofErr w:type="gramEnd"/>
      <w:r w:rsidR="00B300E5">
        <w:t xml:space="preserve"> a bit better, we </w:t>
      </w:r>
      <w:r w:rsidR="003C3D1A">
        <w:t>ended up with an approach to reducing emissions that relies on myriad government decisions, none of them easily predictable in advance by market partic</w:t>
      </w:r>
      <w:r w:rsidR="00050BD1">
        <w:t>i</w:t>
      </w:r>
      <w:r w:rsidR="003C3D1A">
        <w:t xml:space="preserve">pants.  </w:t>
      </w:r>
      <w:proofErr w:type="gramStart"/>
      <w:r w:rsidR="003C3D1A">
        <w:t>Somehow</w:t>
      </w:r>
      <w:proofErr w:type="gramEnd"/>
      <w:r w:rsidR="003C3D1A">
        <w:t xml:space="preserve"> we have ended up </w:t>
      </w:r>
      <w:r w:rsidR="00050BD1">
        <w:t xml:space="preserve">subsidising coal power generation and </w:t>
      </w:r>
      <w:r w:rsidR="003C3D1A">
        <w:t xml:space="preserve">with average prices for coal </w:t>
      </w:r>
      <w:r w:rsidR="00050BD1">
        <w:t xml:space="preserve">and gas </w:t>
      </w:r>
      <w:r w:rsidR="003C3D1A">
        <w:t xml:space="preserve">power </w:t>
      </w:r>
      <w:r w:rsidR="00050BD1">
        <w:t>many</w:t>
      </w:r>
      <w:r w:rsidR="003C3D1A">
        <w:t xml:space="preserve"> </w:t>
      </w:r>
      <w:r w:rsidR="003C3D1A">
        <w:t>times th</w:t>
      </w:r>
      <w:r w:rsidR="00050BD1">
        <w:t>ose</w:t>
      </w:r>
      <w:r w:rsidR="003C3D1A">
        <w:t xml:space="preserve"> for </w:t>
      </w:r>
      <w:r w:rsidR="003C3D1A">
        <w:t>the renewable energy that we are meant to be encouraging</w:t>
      </w:r>
      <w:r w:rsidR="00050BD1">
        <w:t>—while</w:t>
      </w:r>
      <w:r w:rsidR="00900AD6">
        <w:t xml:space="preserve"> </w:t>
      </w:r>
      <w:r w:rsidR="003C3D1A">
        <w:t>undermining the incentives that were once provided for renewables investment by the Renewable Energy Target</w:t>
      </w:r>
      <w:r w:rsidR="00900AD6">
        <w:t xml:space="preserve">. There is extreme uncertainty about future market design and therefore the value of investment in new renewable energy and storage. </w:t>
      </w:r>
    </w:p>
    <w:p w14:paraId="1DAB9FB4" w14:textId="77777777" w:rsidR="00900AD6" w:rsidRDefault="00900AD6" w:rsidP="003C3D1A">
      <w:pPr>
        <w:jc w:val="both"/>
      </w:pPr>
    </w:p>
    <w:p w14:paraId="5CE042B3" w14:textId="0BEE9069" w:rsidR="00591FB4" w:rsidRDefault="003C3D1A" w:rsidP="00900AD6">
      <w:pPr>
        <w:jc w:val="both"/>
      </w:pPr>
      <w:r>
        <w:t xml:space="preserve"> </w:t>
      </w:r>
      <w:r w:rsidR="0033183B">
        <w:t xml:space="preserve">The </w:t>
      </w:r>
      <w:r w:rsidR="00483CBC">
        <w:t xml:space="preserve">decisive </w:t>
      </w:r>
      <w:r w:rsidR="0033183B">
        <w:t xml:space="preserve">Albanese </w:t>
      </w:r>
      <w:proofErr w:type="spellStart"/>
      <w:r w:rsidR="00483CBC">
        <w:t>vistory</w:t>
      </w:r>
      <w:proofErr w:type="spellEnd"/>
      <w:r w:rsidR="0033183B">
        <w:t xml:space="preserve"> last Saturday creates an </w:t>
      </w:r>
      <w:r w:rsidR="00E506FD">
        <w:t xml:space="preserve">historic </w:t>
      </w:r>
      <w:r w:rsidR="0033183B">
        <w:t>opportunity to change</w:t>
      </w:r>
      <w:r w:rsidR="00B300E5">
        <w:t xml:space="preserve">—for the government, and </w:t>
      </w:r>
      <w:r w:rsidR="00900AD6">
        <w:t>for</w:t>
      </w:r>
      <w:r w:rsidR="00B300E5">
        <w:t xml:space="preserve"> business relations with the policy process</w:t>
      </w:r>
      <w:r w:rsidR="0033183B">
        <w:t xml:space="preserve">. It is redolent of the </w:t>
      </w:r>
      <w:r w:rsidR="00483CBC">
        <w:t xml:space="preserve">opportunity created by the </w:t>
      </w:r>
      <w:r w:rsidR="0033183B">
        <w:t>1943 election</w:t>
      </w:r>
      <w:r w:rsidR="00E506FD">
        <w:t>. Curtin’s f</w:t>
      </w:r>
      <w:r w:rsidR="00483CBC">
        <w:t>ir</w:t>
      </w:r>
      <w:r w:rsidR="00E506FD">
        <w:t>st Government, formed in 1941</w:t>
      </w:r>
      <w:r w:rsidR="0033183B">
        <w:t xml:space="preserve">, </w:t>
      </w:r>
      <w:r w:rsidR="00591FB4">
        <w:t>depende</w:t>
      </w:r>
      <w:r w:rsidR="00E506FD">
        <w:t>d</w:t>
      </w:r>
      <w:r w:rsidR="00591FB4">
        <w:t xml:space="preserve"> on the votes of two </w:t>
      </w:r>
      <w:proofErr w:type="gramStart"/>
      <w:r w:rsidR="00591FB4">
        <w:t>Independent</w:t>
      </w:r>
      <w:proofErr w:type="gramEnd"/>
      <w:r w:rsidR="00591FB4">
        <w:t xml:space="preserve"> members</w:t>
      </w:r>
      <w:r w:rsidR="00E506FD">
        <w:t>. The 1943 election delivered an</w:t>
      </w:r>
      <w:r w:rsidR="00591FB4">
        <w:t xml:space="preserve"> overwhelming majority. In a smaller Parliament, the ratio of Government to Coalition </w:t>
      </w:r>
      <w:r w:rsidR="00591FB4">
        <w:lastRenderedPageBreak/>
        <w:t xml:space="preserve">Opposition representatives </w:t>
      </w:r>
      <w:r w:rsidR="00E506FD">
        <w:t xml:space="preserve">in 1943 </w:t>
      </w:r>
      <w:r w:rsidR="00591FB4">
        <w:t xml:space="preserve">was </w:t>
      </w:r>
      <w:proofErr w:type="gramStart"/>
      <w:r w:rsidR="00591FB4">
        <w:t>similar to</w:t>
      </w:r>
      <w:proofErr w:type="gramEnd"/>
      <w:r w:rsidR="00591FB4">
        <w:t xml:space="preserve"> that emerging from the count from last weekend. </w:t>
      </w:r>
    </w:p>
    <w:p w14:paraId="16DF04F8" w14:textId="77777777" w:rsidR="00591FB4" w:rsidRDefault="00591FB4" w:rsidP="0039297D"/>
    <w:p w14:paraId="75930037" w14:textId="34A0E055" w:rsidR="00293160" w:rsidRDefault="00591FB4" w:rsidP="00AA36FF">
      <w:r>
        <w:t>The second Curtin Government</w:t>
      </w:r>
      <w:r w:rsidR="00F72E24">
        <w:t>,</w:t>
      </w:r>
      <w:r>
        <w:t xml:space="preserve"> and the Chifley Government that followed Curtin’s death at the end of the War</w:t>
      </w:r>
      <w:r w:rsidR="00F72E24">
        <w:t>,</w:t>
      </w:r>
      <w:r>
        <w:t xml:space="preserve"> </w:t>
      </w:r>
      <w:r w:rsidR="00060785">
        <w:t xml:space="preserve">established the economic reform programme that set up Australia for a quarter century of full employment with rising living standards for a growing population. The </w:t>
      </w:r>
      <w:r w:rsidR="00B71412">
        <w:t>Chifley Government kept most of its majority in the 1946 election. It was defeated in 1949 after the leading Opposition figure</w:t>
      </w:r>
      <w:r w:rsidR="00483CBC">
        <w:t>, Robert Menzies,</w:t>
      </w:r>
      <w:r w:rsidR="00B71412">
        <w:t xml:space="preserve"> abandoned his United Australia Party with its </w:t>
      </w:r>
      <w:r w:rsidR="00293160">
        <w:t>capture by</w:t>
      </w:r>
      <w:r w:rsidR="00060785">
        <w:t xml:space="preserve"> vested business interests</w:t>
      </w:r>
      <w:r w:rsidR="00483CBC">
        <w:t xml:space="preserve"> as being beyond repair. He</w:t>
      </w:r>
      <w:r w:rsidR="00060785">
        <w:t xml:space="preserve"> </w:t>
      </w:r>
      <w:r w:rsidR="00B71412">
        <w:t xml:space="preserve">established a Liberal </w:t>
      </w:r>
      <w:r w:rsidR="00483CBC">
        <w:t>P</w:t>
      </w:r>
      <w:r w:rsidR="00B71412">
        <w:t xml:space="preserve">arty that </w:t>
      </w:r>
      <w:r w:rsidR="00483CBC">
        <w:t>could appeal to</w:t>
      </w:r>
      <w:r w:rsidR="00B71412">
        <w:t xml:space="preserve"> </w:t>
      </w:r>
      <w:r w:rsidR="00E506FD">
        <w:t xml:space="preserve">broader interests </w:t>
      </w:r>
      <w:r w:rsidR="00483CBC">
        <w:t xml:space="preserve">and values </w:t>
      </w:r>
      <w:r w:rsidR="00E506FD">
        <w:t>of the democratic Australian polity.</w:t>
      </w:r>
      <w:r w:rsidR="00AA36FF">
        <w:t xml:space="preserve"> </w:t>
      </w:r>
    </w:p>
    <w:p w14:paraId="6E22DCFF" w14:textId="77777777" w:rsidR="00293160" w:rsidRDefault="00293160" w:rsidP="00AA36FF"/>
    <w:p w14:paraId="022528E4" w14:textId="7B8A8047" w:rsidR="00AA36FF" w:rsidRDefault="002F032D" w:rsidP="00AA36FF">
      <w:r>
        <w:t xml:space="preserve">The Coalition after the election holds less than 10 percent of the seats in </w:t>
      </w:r>
      <w:r w:rsidR="003B0C41">
        <w:t xml:space="preserve">Australia’s </w:t>
      </w:r>
      <w:r w:rsidR="00293160">
        <w:t>8</w:t>
      </w:r>
      <w:r w:rsidR="003B0C41">
        <w:t xml:space="preserve"> capital cities, </w:t>
      </w:r>
      <w:r w:rsidR="00293160">
        <w:t xml:space="preserve">which are </w:t>
      </w:r>
      <w:r w:rsidR="003B0C41">
        <w:t xml:space="preserve">home </w:t>
      </w:r>
      <w:r w:rsidR="00293160">
        <w:t>for</w:t>
      </w:r>
      <w:r w:rsidR="003B0C41">
        <w:t xml:space="preserve"> </w:t>
      </w:r>
      <w:proofErr w:type="gramStart"/>
      <w:r w:rsidR="003B0C41">
        <w:t xml:space="preserve">the </w:t>
      </w:r>
      <w:r w:rsidR="00293160">
        <w:t>large</w:t>
      </w:r>
      <w:r w:rsidR="003B0C41">
        <w:t xml:space="preserve"> majority of</w:t>
      </w:r>
      <w:proofErr w:type="gramEnd"/>
      <w:r w:rsidR="003B0C41">
        <w:t xml:space="preserve"> Australians. The Coalition holds </w:t>
      </w:r>
      <w:r w:rsidR="00A258E2">
        <w:t>hardly any more</w:t>
      </w:r>
      <w:r w:rsidR="003B0C41">
        <w:t xml:space="preserve"> metropolitan seats than Independents. </w:t>
      </w:r>
      <w:r w:rsidR="00AA36FF">
        <w:t xml:space="preserve">A twenty first century Menzies would recognise the central role of Coalition approaches to climate and energy policy in the collapse of </w:t>
      </w:r>
      <w:r w:rsidR="00A258E2">
        <w:t xml:space="preserve">its </w:t>
      </w:r>
      <w:r w:rsidR="00AA36FF">
        <w:t xml:space="preserve">electoral support in metropolitan Australia. </w:t>
      </w:r>
    </w:p>
    <w:p w14:paraId="4B2E0CF8" w14:textId="77777777" w:rsidR="00B71412" w:rsidRDefault="00B71412" w:rsidP="0039297D"/>
    <w:p w14:paraId="5A23DCF7" w14:textId="1DB42449" w:rsidR="00973219" w:rsidRPr="00973219" w:rsidRDefault="00B71412" w:rsidP="00973219">
      <w:r>
        <w:t>The re</w:t>
      </w:r>
      <w:r w:rsidR="00293160">
        <w:t>newed</w:t>
      </w:r>
      <w:r>
        <w:t xml:space="preserve"> Albanese Government has an opportunity to deliver a twenty first century version of the Curtin-Chifley success. </w:t>
      </w:r>
      <w:r w:rsidR="00483CBC">
        <w:t xml:space="preserve">On election night three years ago, the newly </w:t>
      </w:r>
      <w:proofErr w:type="gramStart"/>
      <w:r w:rsidR="00483CBC">
        <w:t>elected  Prime</w:t>
      </w:r>
      <w:proofErr w:type="gramEnd"/>
      <w:r w:rsidR="00483CBC">
        <w:t xml:space="preserve"> </w:t>
      </w:r>
      <w:proofErr w:type="gramStart"/>
      <w:r w:rsidR="00483CBC">
        <w:t>Minister ,</w:t>
      </w:r>
      <w:proofErr w:type="gramEnd"/>
      <w:r w:rsidR="00483CBC">
        <w:t xml:space="preserve"> Anthony Albanese, expressed his commitment to </w:t>
      </w:r>
      <w:r w:rsidR="00293160">
        <w:t xml:space="preserve">building </w:t>
      </w:r>
      <w:r w:rsidR="00483CBC">
        <w:t>Australia</w:t>
      </w:r>
      <w:r w:rsidR="00293160">
        <w:t xml:space="preserve"> </w:t>
      </w:r>
      <w:r w:rsidR="00483CBC">
        <w:t>as a renewable energy Superpower. On last Saturday’s election night, he restated his commitments to using Australia’s clean energy advantages to build a Future Made in Australia. On last Saturday Night and Sunday morning, Treasure</w:t>
      </w:r>
      <w:r w:rsidR="00293160">
        <w:t>r</w:t>
      </w:r>
      <w:r w:rsidR="00483CBC">
        <w:t xml:space="preserve"> Jim Chalmers noted the opportunity that a strong electoral position provided to implement this </w:t>
      </w:r>
      <w:proofErr w:type="gramStart"/>
      <w:r w:rsidR="00483CBC">
        <w:t>vision, and</w:t>
      </w:r>
      <w:proofErr w:type="gramEnd"/>
      <w:r w:rsidR="00483CBC">
        <w:t xml:space="preserve"> said that </w:t>
      </w:r>
      <w:r w:rsidR="00293160">
        <w:t xml:space="preserve">it </w:t>
      </w:r>
      <w:r w:rsidR="00483CBC">
        <w:t xml:space="preserve">would not </w:t>
      </w:r>
      <w:r w:rsidR="00293160">
        <w:t xml:space="preserve">be </w:t>
      </w:r>
      <w:r w:rsidR="00483CBC">
        <w:t>waste</w:t>
      </w:r>
      <w:r w:rsidR="00293160">
        <w:t>d</w:t>
      </w:r>
      <w:r w:rsidR="00483CBC">
        <w:t xml:space="preserve">. </w:t>
      </w:r>
      <w:r w:rsidR="00900AD6">
        <w:t>Success requires development of policies relying on general inc</w:t>
      </w:r>
      <w:r w:rsidR="00A258E2">
        <w:t>e</w:t>
      </w:r>
      <w:r w:rsidR="00900AD6">
        <w:t xml:space="preserve">ntives for the investments we need to encourage, and policy stability over the long periods required for investments with returns necessary to sustain continuing investment. </w:t>
      </w:r>
      <w:r w:rsidR="00483CBC">
        <w:t xml:space="preserve">Participants in this conference will benefit disproportionately from </w:t>
      </w:r>
      <w:r w:rsidR="00293160">
        <w:t xml:space="preserve">the Government’s </w:t>
      </w:r>
      <w:r w:rsidR="00A258E2">
        <w:t xml:space="preserve">and Australia’s </w:t>
      </w:r>
      <w:r w:rsidR="00483CBC">
        <w:t xml:space="preserve">success.   </w:t>
      </w:r>
    </w:p>
    <w:p w14:paraId="78A77626" w14:textId="15262E88" w:rsidR="000E4A2F" w:rsidRDefault="00F72E24" w:rsidP="00366DE8">
      <w:pPr>
        <w:pStyle w:val="Heading1"/>
      </w:pPr>
      <w:r>
        <w:t>What Twenty First Century Success Would Look Like</w:t>
      </w:r>
    </w:p>
    <w:p w14:paraId="3867D498" w14:textId="77777777" w:rsidR="00561888" w:rsidRDefault="00561888" w:rsidP="00561888"/>
    <w:p w14:paraId="0D3F9590" w14:textId="73852F42" w:rsidR="001334A6" w:rsidRDefault="00561888" w:rsidP="00561888">
      <w:r>
        <w:t xml:space="preserve">The nature and scale of the Australian </w:t>
      </w:r>
      <w:r w:rsidR="00D31DCC">
        <w:t>opportunity</w:t>
      </w:r>
      <w:r>
        <w:t xml:space="preserve"> is set out in The Superpower Insti</w:t>
      </w:r>
      <w:r w:rsidR="00B300E5">
        <w:t>t</w:t>
      </w:r>
      <w:r>
        <w:t xml:space="preserve">ute’s paper, the New Energy Trade, released last November. Australian exports of goods embodying renewable </w:t>
      </w:r>
      <w:r w:rsidR="009A412D">
        <w:t xml:space="preserve">energy could reduce global emissions by up to 10 percent. They would generate export income for Australians vastly </w:t>
      </w:r>
      <w:proofErr w:type="gramStart"/>
      <w:r w:rsidR="009A412D">
        <w:t>in excess of</w:t>
      </w:r>
      <w:proofErr w:type="gramEnd"/>
      <w:r w:rsidR="009A412D">
        <w:t xml:space="preserve"> that provided by the gas and coal industries</w:t>
      </w:r>
      <w:r w:rsidR="00A5275E">
        <w:t xml:space="preserve"> that </w:t>
      </w:r>
      <w:r w:rsidR="00293160">
        <w:t>will</w:t>
      </w:r>
      <w:r w:rsidR="00A5275E">
        <w:t xml:space="preserve"> decline as the world moves to net zero emissions </w:t>
      </w:r>
      <w:r w:rsidR="009A412D">
        <w:t xml:space="preserve">over the next few decades. The </w:t>
      </w:r>
      <w:r w:rsidR="00D31DCC">
        <w:t xml:space="preserve">new industries are </w:t>
      </w:r>
      <w:r w:rsidR="009A412D">
        <w:t xml:space="preserve">large enough to </w:t>
      </w:r>
      <w:r w:rsidR="00A5275E">
        <w:t xml:space="preserve">drive </w:t>
      </w:r>
      <w:r w:rsidR="009A412D">
        <w:t>restor</w:t>
      </w:r>
      <w:r w:rsidR="00A5275E">
        <w:t>ation of</w:t>
      </w:r>
      <w:r w:rsidR="009A412D">
        <w:t xml:space="preserve"> growth in Australian productivity and living standards after </w:t>
      </w:r>
      <w:r w:rsidR="00A5275E">
        <w:t xml:space="preserve">the </w:t>
      </w:r>
      <w:r w:rsidR="009A412D">
        <w:t xml:space="preserve">dozen years of stagnation that </w:t>
      </w:r>
      <w:r w:rsidR="001334A6">
        <w:t>began in</w:t>
      </w:r>
      <w:r w:rsidR="009A412D">
        <w:t xml:space="preserve"> 2013. </w:t>
      </w:r>
    </w:p>
    <w:p w14:paraId="10B11813" w14:textId="77777777" w:rsidR="001334A6" w:rsidRDefault="001334A6" w:rsidP="00561888"/>
    <w:p w14:paraId="1274702E" w14:textId="61C51011" w:rsidR="0057397C" w:rsidRDefault="009A412D" w:rsidP="00D31DCC">
      <w:pPr>
        <w:rPr>
          <w:rFonts w:eastAsia="Times New Roman" w:cs="Times New Roman"/>
          <w:color w:val="000000"/>
          <w:kern w:val="0"/>
          <w:lang w:eastAsia="en-GB"/>
          <w14:ligatures w14:val="none"/>
        </w:rPr>
      </w:pPr>
      <w:r>
        <w:t xml:space="preserve">Yet there is currently a great deal of </w:t>
      </w:r>
      <w:proofErr w:type="spellStart"/>
      <w:r>
        <w:t>skepticism</w:t>
      </w:r>
      <w:proofErr w:type="spellEnd"/>
      <w:r>
        <w:t xml:space="preserve"> about the </w:t>
      </w:r>
      <w:proofErr w:type="spellStart"/>
      <w:r w:rsidR="00D31DCC">
        <w:t>opp</w:t>
      </w:r>
      <w:r>
        <w:t>portunity</w:t>
      </w:r>
      <w:proofErr w:type="spellEnd"/>
      <w:r>
        <w:t>.</w:t>
      </w:r>
      <w:r w:rsidR="001334A6">
        <w:t xml:space="preserve"> That </w:t>
      </w:r>
      <w:r w:rsidR="00D31DCC">
        <w:t>is</w:t>
      </w:r>
      <w:r w:rsidR="001334A6">
        <w:t xml:space="preserve"> not a surprise. </w:t>
      </w:r>
      <w:r w:rsidR="000169FA" w:rsidRPr="002A155A">
        <w:rPr>
          <w:rFonts w:eastAsia="Times New Roman" w:cs="Times New Roman"/>
          <w:color w:val="000000"/>
          <w:kern w:val="0"/>
          <w:lang w:eastAsia="en-GB"/>
          <w14:ligatures w14:val="none"/>
        </w:rPr>
        <w:t>Looking back</w:t>
      </w:r>
      <w:r>
        <w:rPr>
          <w:rFonts w:eastAsia="Times New Roman" w:cs="Times New Roman"/>
          <w:color w:val="000000"/>
          <w:kern w:val="0"/>
          <w:lang w:eastAsia="en-GB"/>
          <w14:ligatures w14:val="none"/>
        </w:rPr>
        <w:t xml:space="preserve"> over my unconscionably long professional lifetime</w:t>
      </w:r>
      <w:r w:rsidR="000169FA" w:rsidRPr="002A155A">
        <w:rPr>
          <w:rFonts w:eastAsia="Times New Roman" w:cs="Times New Roman"/>
          <w:color w:val="000000"/>
          <w:kern w:val="0"/>
          <w:lang w:eastAsia="en-GB"/>
          <w14:ligatures w14:val="none"/>
        </w:rPr>
        <w:t xml:space="preserve">, I am struck by how far-reaching change always takes most of us by surprise. </w:t>
      </w:r>
      <w:r w:rsidR="00A258E2">
        <w:rPr>
          <w:rFonts w:eastAsia="Times New Roman" w:cs="Times New Roman"/>
          <w:color w:val="000000"/>
          <w:kern w:val="0"/>
          <w:lang w:eastAsia="en-GB"/>
          <w14:ligatures w14:val="none"/>
        </w:rPr>
        <w:t xml:space="preserve">I have seen that in the </w:t>
      </w:r>
      <w:r w:rsidR="00A258E2">
        <w:rPr>
          <w:rFonts w:eastAsia="Times New Roman" w:cs="Times New Roman"/>
          <w:color w:val="000000"/>
          <w:kern w:val="0"/>
          <w:lang w:eastAsia="en-GB"/>
          <w14:ligatures w14:val="none"/>
        </w:rPr>
        <w:lastRenderedPageBreak/>
        <w:t xml:space="preserve">Japan mining boom of the 1960s, the Hawke reform era from 1983 until the end of the century, and the China Resources boom through the first dozen years of this century. </w:t>
      </w:r>
    </w:p>
    <w:p w14:paraId="45803200" w14:textId="5B83CBEC" w:rsidR="00C40FEF" w:rsidRDefault="00EE0066" w:rsidP="002A155A">
      <w:pPr>
        <w:shd w:val="clear" w:color="auto" w:fill="FFFFFF"/>
        <w:spacing w:before="100" w:beforeAutospacing="1" w:after="100" w:afterAutospacing="1"/>
        <w:jc w:val="both"/>
        <w:rPr>
          <w:rFonts w:eastAsia="Times New Roman" w:cs="Times New Roman"/>
          <w:color w:val="000000"/>
          <w:kern w:val="0"/>
          <w:lang w:eastAsia="en-GB"/>
          <w14:ligatures w14:val="none"/>
        </w:rPr>
      </w:pPr>
      <w:proofErr w:type="gramStart"/>
      <w:r w:rsidRPr="002A155A">
        <w:rPr>
          <w:rFonts w:eastAsia="Times New Roman" w:cs="Times New Roman"/>
          <w:color w:val="000000"/>
          <w:kern w:val="0"/>
          <w:lang w:eastAsia="en-GB"/>
          <w14:ligatures w14:val="none"/>
        </w:rPr>
        <w:t>So</w:t>
      </w:r>
      <w:proofErr w:type="gramEnd"/>
      <w:r w:rsidRPr="002A155A">
        <w:rPr>
          <w:rFonts w:eastAsia="Times New Roman" w:cs="Times New Roman"/>
          <w:color w:val="000000"/>
          <w:kern w:val="0"/>
          <w:lang w:eastAsia="en-GB"/>
          <w14:ligatures w14:val="none"/>
        </w:rPr>
        <w:t xml:space="preserve"> it</w:t>
      </w:r>
      <w:r w:rsidR="00B32704" w:rsidRPr="002A155A">
        <w:rPr>
          <w:rFonts w:eastAsia="Times New Roman" w:cs="Times New Roman"/>
          <w:color w:val="000000"/>
          <w:kern w:val="0"/>
          <w:lang w:eastAsia="en-GB"/>
          <w14:ligatures w14:val="none"/>
        </w:rPr>
        <w:t>’</w:t>
      </w:r>
      <w:r w:rsidRPr="002A155A">
        <w:rPr>
          <w:rFonts w:eastAsia="Times New Roman" w:cs="Times New Roman"/>
          <w:color w:val="000000"/>
          <w:kern w:val="0"/>
          <w:lang w:eastAsia="en-GB"/>
          <w14:ligatures w14:val="none"/>
        </w:rPr>
        <w:t>s no surprise that</w:t>
      </w:r>
      <w:r w:rsidR="00B32704" w:rsidRPr="002A155A">
        <w:rPr>
          <w:rFonts w:eastAsia="Times New Roman" w:cs="Times New Roman"/>
          <w:color w:val="000000"/>
          <w:kern w:val="0"/>
          <w:lang w:eastAsia="en-GB"/>
          <w14:ligatures w14:val="none"/>
        </w:rPr>
        <w:t xml:space="preserve"> most</w:t>
      </w:r>
      <w:r w:rsidRPr="002A155A">
        <w:rPr>
          <w:rFonts w:eastAsia="Times New Roman" w:cs="Times New Roman"/>
          <w:color w:val="000000"/>
          <w:kern w:val="0"/>
          <w:lang w:eastAsia="en-GB"/>
          <w14:ligatures w14:val="none"/>
        </w:rPr>
        <w:t xml:space="preserve"> Australian business and m</w:t>
      </w:r>
      <w:r w:rsidR="00B32704" w:rsidRPr="002A155A">
        <w:rPr>
          <w:rFonts w:eastAsia="Times New Roman" w:cs="Times New Roman"/>
          <w:color w:val="000000"/>
          <w:kern w:val="0"/>
          <w:lang w:eastAsia="en-GB"/>
          <w14:ligatures w14:val="none"/>
        </w:rPr>
        <w:t>ost</w:t>
      </w:r>
      <w:r w:rsidRPr="002A155A">
        <w:rPr>
          <w:rFonts w:eastAsia="Times New Roman" w:cs="Times New Roman"/>
          <w:color w:val="000000"/>
          <w:kern w:val="0"/>
          <w:lang w:eastAsia="en-GB"/>
          <w14:ligatures w14:val="none"/>
        </w:rPr>
        <w:t xml:space="preserve"> Australians are not yet </w:t>
      </w:r>
      <w:r w:rsidR="00B32704" w:rsidRPr="002A155A">
        <w:rPr>
          <w:rFonts w:eastAsia="Times New Roman" w:cs="Times New Roman"/>
          <w:color w:val="000000"/>
          <w:kern w:val="0"/>
          <w:lang w:eastAsia="en-GB"/>
          <w14:ligatures w14:val="none"/>
        </w:rPr>
        <w:t>looking forward to</w:t>
      </w:r>
      <w:r w:rsidRPr="002A155A">
        <w:rPr>
          <w:rFonts w:eastAsia="Times New Roman" w:cs="Times New Roman"/>
          <w:color w:val="000000"/>
          <w:kern w:val="0"/>
          <w:lang w:eastAsia="en-GB"/>
          <w14:ligatures w14:val="none"/>
        </w:rPr>
        <w:t xml:space="preserve"> the next great Australian economic transformation. </w:t>
      </w:r>
      <w:r w:rsidR="00F77843" w:rsidRPr="002A155A">
        <w:rPr>
          <w:rFonts w:eastAsia="Times New Roman" w:cs="Times New Roman"/>
          <w:lang w:eastAsia="en-GB"/>
        </w:rPr>
        <w:tab/>
      </w:r>
    </w:p>
    <w:p w14:paraId="50CAB19B" w14:textId="77777777" w:rsidR="009A412D" w:rsidRDefault="009A412D" w:rsidP="009A412D">
      <w:pPr>
        <w:shd w:val="clear" w:color="auto" w:fill="FFFFFF"/>
        <w:spacing w:before="100" w:beforeAutospacing="1" w:after="100" w:afterAutospacing="1"/>
        <w:jc w:val="both"/>
        <w:rPr>
          <w:rFonts w:eastAsia="Times New Roman" w:cs="Times New Roman"/>
          <w:color w:val="000000"/>
          <w:kern w:val="0"/>
          <w:lang w:eastAsia="en-GB"/>
          <w14:ligatures w14:val="none"/>
        </w:rPr>
      </w:pPr>
      <w:r w:rsidRPr="002A155A">
        <w:rPr>
          <w:rFonts w:eastAsia="Times New Roman" w:cs="Times New Roman"/>
          <w:color w:val="000000"/>
          <w:kern w:val="0"/>
          <w:lang w:eastAsia="en-GB"/>
          <w14:ligatures w14:val="none"/>
        </w:rPr>
        <w:t>The Superpower transformation requires change in other countries as well as economic policy reform at home.</w:t>
      </w:r>
    </w:p>
    <w:p w14:paraId="0F338AD3" w14:textId="37E7C058" w:rsidR="00297BEF" w:rsidRPr="009A412D" w:rsidRDefault="00297BEF" w:rsidP="009A412D">
      <w:pPr>
        <w:shd w:val="clear" w:color="auto" w:fill="FFFFFF"/>
        <w:spacing w:before="100" w:beforeAutospacing="1" w:after="100" w:afterAutospacing="1"/>
        <w:jc w:val="both"/>
        <w:rPr>
          <w:rFonts w:eastAsia="Times New Roman" w:cs="Times New Roman"/>
          <w:color w:val="000000"/>
          <w:kern w:val="0"/>
          <w:lang w:eastAsia="en-GB"/>
          <w14:ligatures w14:val="none"/>
        </w:rPr>
      </w:pPr>
      <w:r w:rsidRPr="007B24AA">
        <w:rPr>
          <w:sz w:val="36"/>
          <w:szCs w:val="36"/>
        </w:rPr>
        <w:t>Change Abroad Supports Superpower Exports</w:t>
      </w:r>
    </w:p>
    <w:p w14:paraId="4857C26E" w14:textId="604AC126" w:rsidR="00123361" w:rsidRPr="002A155A" w:rsidRDefault="00123361" w:rsidP="002A155A">
      <w:pPr>
        <w:shd w:val="clear" w:color="auto" w:fill="FFFFFF"/>
        <w:spacing w:before="100" w:beforeAutospacing="1" w:after="100" w:afterAutospacing="1"/>
        <w:jc w:val="both"/>
        <w:rPr>
          <w:rFonts w:eastAsia="Times New Roman" w:cs="Times New Roman"/>
          <w:color w:val="000000"/>
          <w:kern w:val="0"/>
          <w:lang w:eastAsia="en-GB"/>
          <w14:ligatures w14:val="none"/>
        </w:rPr>
      </w:pPr>
      <w:r w:rsidRPr="002A155A">
        <w:rPr>
          <w:rFonts w:eastAsia="Times New Roman" w:cs="Times New Roman"/>
          <w:color w:val="000000"/>
          <w:kern w:val="0"/>
          <w:lang w:eastAsia="en-GB"/>
          <w14:ligatures w14:val="none"/>
        </w:rPr>
        <w:t>W</w:t>
      </w:r>
      <w:r w:rsidR="00B32704" w:rsidRPr="002A155A">
        <w:rPr>
          <w:rFonts w:eastAsia="Times New Roman" w:cs="Times New Roman"/>
          <w:color w:val="000000"/>
          <w:kern w:val="0"/>
          <w:lang w:eastAsia="en-GB"/>
          <w14:ligatures w14:val="none"/>
        </w:rPr>
        <w:t xml:space="preserve">e need </w:t>
      </w:r>
      <w:r w:rsidRPr="002A155A">
        <w:rPr>
          <w:rFonts w:eastAsia="Times New Roman" w:cs="Times New Roman"/>
          <w:color w:val="000000"/>
          <w:kern w:val="0"/>
          <w:lang w:eastAsia="en-GB"/>
          <w14:ligatures w14:val="none"/>
        </w:rPr>
        <w:t xml:space="preserve">other countries to be </w:t>
      </w:r>
      <w:r w:rsidR="00B32704" w:rsidRPr="002A155A">
        <w:rPr>
          <w:rFonts w:eastAsia="Times New Roman" w:cs="Times New Roman"/>
          <w:color w:val="000000"/>
          <w:kern w:val="0"/>
          <w:lang w:eastAsia="en-GB"/>
          <w14:ligatures w14:val="none"/>
        </w:rPr>
        <w:t xml:space="preserve">reducing emissions. We can make a </w:t>
      </w:r>
      <w:r w:rsidRPr="002A155A">
        <w:rPr>
          <w:rFonts w:eastAsia="Times New Roman" w:cs="Times New Roman"/>
          <w:color w:val="000000"/>
          <w:kern w:val="0"/>
          <w:lang w:eastAsia="en-GB"/>
          <w14:ligatures w14:val="none"/>
        </w:rPr>
        <w:t xml:space="preserve">good </w:t>
      </w:r>
      <w:r w:rsidR="00B32704" w:rsidRPr="002A155A">
        <w:rPr>
          <w:rFonts w:eastAsia="Times New Roman" w:cs="Times New Roman"/>
          <w:color w:val="000000"/>
          <w:kern w:val="0"/>
          <w:lang w:eastAsia="en-GB"/>
          <w14:ligatures w14:val="none"/>
        </w:rPr>
        <w:t xml:space="preserve">start </w:t>
      </w:r>
      <w:r w:rsidRPr="002A155A">
        <w:rPr>
          <w:rFonts w:eastAsia="Times New Roman" w:cs="Times New Roman"/>
          <w:color w:val="000000"/>
          <w:kern w:val="0"/>
          <w:lang w:eastAsia="en-GB"/>
          <w14:ligatures w14:val="none"/>
        </w:rPr>
        <w:t xml:space="preserve">in building profitable </w:t>
      </w:r>
      <w:r w:rsidR="00A44CA1" w:rsidRPr="002A155A">
        <w:rPr>
          <w:rFonts w:eastAsia="Times New Roman" w:cs="Times New Roman"/>
          <w:color w:val="000000"/>
          <w:kern w:val="0"/>
          <w:lang w:eastAsia="en-GB"/>
          <w14:ligatures w14:val="none"/>
        </w:rPr>
        <w:t>Superpower</w:t>
      </w:r>
      <w:r w:rsidRPr="002A155A">
        <w:rPr>
          <w:rFonts w:eastAsia="Times New Roman" w:cs="Times New Roman"/>
          <w:color w:val="000000"/>
          <w:kern w:val="0"/>
          <w:lang w:eastAsia="en-GB"/>
          <w14:ligatures w14:val="none"/>
        </w:rPr>
        <w:t xml:space="preserve"> export industries </w:t>
      </w:r>
      <w:r w:rsidR="00B32704" w:rsidRPr="002A155A">
        <w:rPr>
          <w:rFonts w:eastAsia="Times New Roman" w:cs="Times New Roman"/>
          <w:color w:val="000000"/>
          <w:kern w:val="0"/>
          <w:lang w:eastAsia="en-GB"/>
          <w14:ligatures w14:val="none"/>
        </w:rPr>
        <w:t>if other countries are making a good start</w:t>
      </w:r>
      <w:r w:rsidRPr="002A155A">
        <w:rPr>
          <w:rFonts w:eastAsia="Times New Roman" w:cs="Times New Roman"/>
          <w:color w:val="000000"/>
          <w:kern w:val="0"/>
          <w:lang w:eastAsia="en-GB"/>
          <w14:ligatures w14:val="none"/>
        </w:rPr>
        <w:t xml:space="preserve"> with reducing the emissions</w:t>
      </w:r>
      <w:r w:rsidR="00A44CA1" w:rsidRPr="002A155A">
        <w:rPr>
          <w:rFonts w:eastAsia="Times New Roman" w:cs="Times New Roman"/>
          <w:color w:val="000000"/>
          <w:kern w:val="0"/>
          <w:lang w:eastAsia="en-GB"/>
          <w14:ligatures w14:val="none"/>
        </w:rPr>
        <w:t>-</w:t>
      </w:r>
      <w:r w:rsidRPr="002A155A">
        <w:rPr>
          <w:rFonts w:eastAsia="Times New Roman" w:cs="Times New Roman"/>
          <w:color w:val="000000"/>
          <w:kern w:val="0"/>
          <w:lang w:eastAsia="en-GB"/>
          <w14:ligatures w14:val="none"/>
        </w:rPr>
        <w:t xml:space="preserve">intensity of economic activity. Other countries are making that start and continuing despite the Trump administration’s assertion </w:t>
      </w:r>
      <w:r w:rsidR="00F77843" w:rsidRPr="002A155A">
        <w:rPr>
          <w:rFonts w:eastAsia="Times New Roman" w:cs="Times New Roman"/>
          <w:color w:val="000000"/>
          <w:kern w:val="0"/>
          <w:lang w:eastAsia="en-GB"/>
          <w14:ligatures w14:val="none"/>
        </w:rPr>
        <w:t>that the science of atmospheric physics is fake news</w:t>
      </w:r>
      <w:r w:rsidR="00B32704" w:rsidRPr="002A155A">
        <w:rPr>
          <w:rFonts w:eastAsia="Times New Roman" w:cs="Times New Roman"/>
          <w:color w:val="000000"/>
          <w:kern w:val="0"/>
          <w:lang w:eastAsia="en-GB"/>
          <w14:ligatures w14:val="none"/>
        </w:rPr>
        <w:t xml:space="preserve">. </w:t>
      </w:r>
      <w:r w:rsidRPr="002A155A">
        <w:rPr>
          <w:rFonts w:eastAsia="Times New Roman" w:cs="Times New Roman"/>
          <w:color w:val="000000"/>
          <w:kern w:val="0"/>
          <w:lang w:eastAsia="en-GB"/>
          <w14:ligatures w14:val="none"/>
        </w:rPr>
        <w:t xml:space="preserve">The Superpower Institute’s paper, </w:t>
      </w:r>
      <w:r w:rsidR="00BD2520" w:rsidRPr="002A155A">
        <w:rPr>
          <w:rFonts w:eastAsia="Times New Roman" w:cs="Times New Roman"/>
          <w:color w:val="000000"/>
          <w:kern w:val="0"/>
          <w:lang w:eastAsia="en-GB"/>
          <w14:ligatures w14:val="none"/>
        </w:rPr>
        <w:t>“</w:t>
      </w:r>
      <w:r w:rsidRPr="002A155A">
        <w:rPr>
          <w:rFonts w:eastAsia="Times New Roman" w:cs="Times New Roman"/>
          <w:color w:val="000000"/>
          <w:kern w:val="0"/>
          <w:lang w:eastAsia="en-GB"/>
          <w14:ligatures w14:val="none"/>
        </w:rPr>
        <w:t>The New Energy Trade</w:t>
      </w:r>
      <w:r w:rsidR="00BD2520" w:rsidRPr="002A155A">
        <w:rPr>
          <w:rFonts w:eastAsia="Times New Roman" w:cs="Times New Roman"/>
          <w:color w:val="000000"/>
          <w:kern w:val="0"/>
          <w:lang w:eastAsia="en-GB"/>
          <w14:ligatures w14:val="none"/>
        </w:rPr>
        <w:t>”</w:t>
      </w:r>
      <w:r w:rsidRPr="002A155A">
        <w:rPr>
          <w:rFonts w:eastAsia="Times New Roman" w:cs="Times New Roman"/>
          <w:color w:val="000000"/>
          <w:kern w:val="0"/>
          <w:lang w:eastAsia="en-GB"/>
          <w14:ligatures w14:val="none"/>
        </w:rPr>
        <w:t xml:space="preserve">, shows that </w:t>
      </w:r>
      <w:r w:rsidR="002B287F" w:rsidRPr="002A155A">
        <w:rPr>
          <w:rFonts w:eastAsia="Times New Roman" w:cs="Times New Roman"/>
          <w:color w:val="000000"/>
          <w:kern w:val="0"/>
          <w:lang w:eastAsia="en-GB"/>
          <w14:ligatures w14:val="none"/>
        </w:rPr>
        <w:t xml:space="preserve">the </w:t>
      </w:r>
      <w:r w:rsidRPr="002A155A">
        <w:rPr>
          <w:rFonts w:eastAsia="Times New Roman" w:cs="Times New Roman"/>
          <w:color w:val="000000"/>
          <w:kern w:val="0"/>
          <w:lang w:eastAsia="en-GB"/>
          <w14:ligatures w14:val="none"/>
        </w:rPr>
        <w:t xml:space="preserve">countries that </w:t>
      </w:r>
      <w:r w:rsidR="00086230" w:rsidRPr="002A155A">
        <w:rPr>
          <w:rFonts w:eastAsia="Times New Roman" w:cs="Times New Roman"/>
          <w:color w:val="000000"/>
          <w:kern w:val="0"/>
          <w:lang w:eastAsia="en-GB"/>
          <w14:ligatures w14:val="none"/>
        </w:rPr>
        <w:t xml:space="preserve">matter most </w:t>
      </w:r>
      <w:r w:rsidR="000B6529" w:rsidRPr="002A155A">
        <w:rPr>
          <w:rFonts w:eastAsia="Times New Roman" w:cs="Times New Roman"/>
          <w:color w:val="000000"/>
          <w:kern w:val="0"/>
          <w:lang w:eastAsia="en-GB"/>
          <w14:ligatures w14:val="none"/>
        </w:rPr>
        <w:t xml:space="preserve">to Australian opportunity </w:t>
      </w:r>
      <w:r w:rsidRPr="002A155A">
        <w:rPr>
          <w:rFonts w:eastAsia="Times New Roman" w:cs="Times New Roman"/>
          <w:color w:val="000000"/>
          <w:kern w:val="0"/>
          <w:lang w:eastAsia="en-GB"/>
          <w14:ligatures w14:val="none"/>
        </w:rPr>
        <w:t xml:space="preserve">have high incomes and levels of industrial activity, and </w:t>
      </w:r>
      <w:r w:rsidR="00F77843" w:rsidRPr="002A155A">
        <w:rPr>
          <w:rFonts w:eastAsia="Times New Roman" w:cs="Times New Roman"/>
          <w:color w:val="000000"/>
          <w:kern w:val="0"/>
          <w:lang w:eastAsia="en-GB"/>
          <w14:ligatures w14:val="none"/>
        </w:rPr>
        <w:t>low</w:t>
      </w:r>
      <w:r w:rsidRPr="002A155A">
        <w:rPr>
          <w:rFonts w:eastAsia="Times New Roman" w:cs="Times New Roman"/>
          <w:color w:val="000000"/>
          <w:kern w:val="0"/>
          <w:lang w:eastAsia="en-GB"/>
          <w14:ligatures w14:val="none"/>
        </w:rPr>
        <w:t xml:space="preserve"> per capita endowments of the resources necessary to make zero-carbon goods. For the time being, these are the economies of Northeast Asia and Europe. </w:t>
      </w:r>
      <w:r w:rsidR="002B287F" w:rsidRPr="002A155A">
        <w:rPr>
          <w:rFonts w:eastAsia="Times New Roman" w:cs="Times New Roman"/>
          <w:color w:val="000000"/>
          <w:kern w:val="0"/>
          <w:lang w:eastAsia="en-GB"/>
          <w14:ligatures w14:val="none"/>
        </w:rPr>
        <w:t xml:space="preserve">They are all committed to and making progress towards net zero emissions. </w:t>
      </w:r>
    </w:p>
    <w:p w14:paraId="250E5796" w14:textId="5DB7AC24" w:rsidR="00123361" w:rsidRPr="002A155A" w:rsidRDefault="00AB2B6D" w:rsidP="002A155A">
      <w:pPr>
        <w:shd w:val="clear" w:color="auto" w:fill="FFFFFF"/>
        <w:spacing w:before="100" w:beforeAutospacing="1" w:after="100" w:afterAutospacing="1"/>
        <w:jc w:val="both"/>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Trump Administration’s rejection of scientific p</w:t>
      </w:r>
      <w:r w:rsidR="00900AD6">
        <w:rPr>
          <w:rFonts w:eastAsia="Times New Roman" w:cs="Times New Roman"/>
          <w:color w:val="000000"/>
          <w:kern w:val="0"/>
          <w:lang w:eastAsia="en-GB"/>
          <w14:ligatures w14:val="none"/>
        </w:rPr>
        <w:t>h</w:t>
      </w:r>
      <w:r>
        <w:rPr>
          <w:rFonts w:eastAsia="Times New Roman" w:cs="Times New Roman"/>
          <w:color w:val="000000"/>
          <w:kern w:val="0"/>
          <w:lang w:eastAsia="en-GB"/>
          <w14:ligatures w14:val="none"/>
        </w:rPr>
        <w:t xml:space="preserve">ysics and withdrawal from international climate as well as trade cooperation reduce prospects for the Australian Superpower? Not much, yet. </w:t>
      </w:r>
      <w:r w:rsidR="00123361" w:rsidRPr="002A155A">
        <w:rPr>
          <w:rFonts w:eastAsia="Times New Roman" w:cs="Times New Roman"/>
          <w:color w:val="000000"/>
          <w:kern w:val="0"/>
          <w:lang w:eastAsia="en-GB"/>
          <w14:ligatures w14:val="none"/>
        </w:rPr>
        <w:t xml:space="preserve">The United States was always going to be broadly self-sufficient in zero-carbon goods, as it has always been in the high-carbon goods of the old economy. Trump protectionism and </w:t>
      </w:r>
      <w:r w:rsidR="007079B0" w:rsidRPr="002A155A">
        <w:rPr>
          <w:rFonts w:eastAsia="Times New Roman" w:cs="Times New Roman"/>
          <w:color w:val="000000"/>
          <w:kern w:val="0"/>
          <w:lang w:eastAsia="en-GB"/>
          <w14:ligatures w14:val="none"/>
        </w:rPr>
        <w:t>withdrawal from international climate cooperation does not directly damage Australia’s Superpower opportunity. It would be damaging if it turned European and Northeast Asian economies</w:t>
      </w:r>
      <w:r w:rsidR="00A44CA1" w:rsidRPr="002A155A">
        <w:rPr>
          <w:rFonts w:eastAsia="Times New Roman" w:cs="Times New Roman"/>
          <w:color w:val="000000"/>
          <w:kern w:val="0"/>
          <w:lang w:eastAsia="en-GB"/>
          <w14:ligatures w14:val="none"/>
        </w:rPr>
        <w:t>, or Australia,</w:t>
      </w:r>
      <w:r w:rsidR="007079B0" w:rsidRPr="002A155A">
        <w:rPr>
          <w:rFonts w:eastAsia="Times New Roman" w:cs="Times New Roman"/>
          <w:color w:val="000000"/>
          <w:kern w:val="0"/>
          <w:lang w:eastAsia="en-GB"/>
          <w14:ligatures w14:val="none"/>
        </w:rPr>
        <w:t xml:space="preserve"> away from</w:t>
      </w:r>
      <w:r w:rsidR="00624694" w:rsidRPr="002A155A">
        <w:rPr>
          <w:rFonts w:eastAsia="Times New Roman" w:cs="Times New Roman"/>
          <w:color w:val="000000"/>
          <w:kern w:val="0"/>
          <w:lang w:eastAsia="en-GB"/>
          <w14:ligatures w14:val="none"/>
        </w:rPr>
        <w:t xml:space="preserve"> </w:t>
      </w:r>
      <w:r w:rsidR="00F77843" w:rsidRPr="002A155A">
        <w:rPr>
          <w:rFonts w:eastAsia="Times New Roman" w:cs="Times New Roman"/>
          <w:color w:val="000000"/>
          <w:kern w:val="0"/>
          <w:lang w:eastAsia="en-GB"/>
          <w14:ligatures w14:val="none"/>
        </w:rPr>
        <w:t xml:space="preserve">open trade and </w:t>
      </w:r>
      <w:r w:rsidR="009A412D">
        <w:rPr>
          <w:rFonts w:eastAsia="Times New Roman" w:cs="Times New Roman"/>
          <w:color w:val="000000"/>
          <w:kern w:val="0"/>
          <w:lang w:eastAsia="en-GB"/>
          <w14:ligatures w14:val="none"/>
        </w:rPr>
        <w:t>from</w:t>
      </w:r>
      <w:r w:rsidR="00F77843" w:rsidRPr="002A155A">
        <w:rPr>
          <w:rFonts w:eastAsia="Times New Roman" w:cs="Times New Roman"/>
          <w:color w:val="000000"/>
          <w:kern w:val="0"/>
          <w:lang w:eastAsia="en-GB"/>
          <w14:ligatures w14:val="none"/>
        </w:rPr>
        <w:t xml:space="preserve"> </w:t>
      </w:r>
      <w:r w:rsidR="00624694" w:rsidRPr="002A155A">
        <w:rPr>
          <w:rFonts w:eastAsia="Times New Roman" w:cs="Times New Roman"/>
          <w:color w:val="000000"/>
          <w:kern w:val="0"/>
          <w:lang w:eastAsia="en-GB"/>
          <w14:ligatures w14:val="none"/>
        </w:rPr>
        <w:t xml:space="preserve">net zero emissions. There is no sign of </w:t>
      </w:r>
      <w:r w:rsidR="00A44CA1" w:rsidRPr="002A155A">
        <w:rPr>
          <w:rFonts w:eastAsia="Times New Roman" w:cs="Times New Roman"/>
          <w:color w:val="000000"/>
          <w:kern w:val="0"/>
          <w:lang w:eastAsia="en-GB"/>
          <w14:ligatures w14:val="none"/>
        </w:rPr>
        <w:t>Europe or Northeast Asia turn</w:t>
      </w:r>
      <w:r w:rsidR="00086230" w:rsidRPr="002A155A">
        <w:rPr>
          <w:rFonts w:eastAsia="Times New Roman" w:cs="Times New Roman"/>
          <w:color w:val="000000"/>
          <w:kern w:val="0"/>
          <w:lang w:eastAsia="en-GB"/>
          <w14:ligatures w14:val="none"/>
        </w:rPr>
        <w:t>ing</w:t>
      </w:r>
      <w:r w:rsidR="00A44CA1" w:rsidRPr="002A155A">
        <w:rPr>
          <w:rFonts w:eastAsia="Times New Roman" w:cs="Times New Roman"/>
          <w:color w:val="000000"/>
          <w:kern w:val="0"/>
          <w:lang w:eastAsia="en-GB"/>
          <w14:ligatures w14:val="none"/>
        </w:rPr>
        <w:t xml:space="preserve"> away</w:t>
      </w:r>
      <w:r w:rsidR="00624694" w:rsidRPr="002A155A">
        <w:rPr>
          <w:rFonts w:eastAsia="Times New Roman" w:cs="Times New Roman"/>
          <w:color w:val="000000"/>
          <w:kern w:val="0"/>
          <w:lang w:eastAsia="en-GB"/>
          <w14:ligatures w14:val="none"/>
        </w:rPr>
        <w:t xml:space="preserve">. Assertion of European (including British and Scandinavian) policy independence from the </w:t>
      </w:r>
      <w:r w:rsidR="00F77843" w:rsidRPr="002A155A">
        <w:rPr>
          <w:rFonts w:eastAsia="Times New Roman" w:cs="Times New Roman"/>
          <w:color w:val="000000"/>
          <w:kern w:val="0"/>
          <w:lang w:eastAsia="en-GB"/>
          <w14:ligatures w14:val="none"/>
        </w:rPr>
        <w:t xml:space="preserve">Trump </w:t>
      </w:r>
      <w:r w:rsidR="00624694" w:rsidRPr="002A155A">
        <w:rPr>
          <w:rFonts w:eastAsia="Times New Roman" w:cs="Times New Roman"/>
          <w:color w:val="000000"/>
          <w:kern w:val="0"/>
          <w:lang w:eastAsia="en-GB"/>
          <w14:ligatures w14:val="none"/>
        </w:rPr>
        <w:t>United States has confirm</w:t>
      </w:r>
      <w:r w:rsidR="00086230" w:rsidRPr="002A155A">
        <w:rPr>
          <w:rFonts w:eastAsia="Times New Roman" w:cs="Times New Roman"/>
          <w:color w:val="000000"/>
          <w:kern w:val="0"/>
          <w:lang w:eastAsia="en-GB"/>
          <w14:ligatures w14:val="none"/>
        </w:rPr>
        <w:t>ed</w:t>
      </w:r>
      <w:r w:rsidR="00624694" w:rsidRPr="002A155A">
        <w:rPr>
          <w:rFonts w:eastAsia="Times New Roman" w:cs="Times New Roman"/>
          <w:color w:val="000000"/>
          <w:kern w:val="0"/>
          <w:lang w:eastAsia="en-GB"/>
          <w14:ligatures w14:val="none"/>
        </w:rPr>
        <w:t xml:space="preserve"> commitment both </w:t>
      </w:r>
      <w:r w:rsidR="00086230" w:rsidRPr="002A155A">
        <w:rPr>
          <w:rFonts w:eastAsia="Times New Roman" w:cs="Times New Roman"/>
          <w:color w:val="000000"/>
          <w:kern w:val="0"/>
          <w:lang w:eastAsia="en-GB"/>
          <w14:ligatures w14:val="none"/>
        </w:rPr>
        <w:t xml:space="preserve">to </w:t>
      </w:r>
      <w:r w:rsidR="00624694" w:rsidRPr="002A155A">
        <w:rPr>
          <w:rFonts w:eastAsia="Times New Roman" w:cs="Times New Roman"/>
          <w:color w:val="000000"/>
          <w:kern w:val="0"/>
          <w:lang w:eastAsia="en-GB"/>
          <w14:ligatures w14:val="none"/>
        </w:rPr>
        <w:t xml:space="preserve">open trade and </w:t>
      </w:r>
      <w:r w:rsidR="00086230" w:rsidRPr="002A155A">
        <w:rPr>
          <w:rFonts w:eastAsia="Times New Roman" w:cs="Times New Roman"/>
          <w:color w:val="000000"/>
          <w:kern w:val="0"/>
          <w:lang w:eastAsia="en-GB"/>
          <w14:ligatures w14:val="none"/>
        </w:rPr>
        <w:t xml:space="preserve">to </w:t>
      </w:r>
      <w:r w:rsidR="00624694" w:rsidRPr="002A155A">
        <w:rPr>
          <w:rFonts w:eastAsia="Times New Roman" w:cs="Times New Roman"/>
          <w:color w:val="000000"/>
          <w:kern w:val="0"/>
          <w:lang w:eastAsia="en-GB"/>
          <w14:ligatures w14:val="none"/>
        </w:rPr>
        <w:t>net zero emissions. Japan, Korea and Taiwan, while understandably nervous about where the Trump disruption will go next, have not moved towards Trump positions</w:t>
      </w:r>
      <w:r w:rsidR="002B287F" w:rsidRPr="002A155A">
        <w:rPr>
          <w:rFonts w:eastAsia="Times New Roman" w:cs="Times New Roman"/>
          <w:color w:val="000000"/>
          <w:kern w:val="0"/>
          <w:lang w:eastAsia="en-GB"/>
          <w14:ligatures w14:val="none"/>
        </w:rPr>
        <w:t xml:space="preserve"> on climate</w:t>
      </w:r>
      <w:r w:rsidR="00624694" w:rsidRPr="002A155A">
        <w:rPr>
          <w:rFonts w:eastAsia="Times New Roman" w:cs="Times New Roman"/>
          <w:color w:val="000000"/>
          <w:kern w:val="0"/>
          <w:lang w:eastAsia="en-GB"/>
          <w14:ligatures w14:val="none"/>
        </w:rPr>
        <w:t xml:space="preserve">. China, already having accelerated its own decarbonisation as the economy moved out of its COVID slump, has seen geo-political as well as economic opportunity in strengthening commitment to international cooperation beyond the US on both trade and climate. </w:t>
      </w:r>
    </w:p>
    <w:p w14:paraId="287B547B" w14:textId="191E27FE" w:rsidR="00624694" w:rsidRPr="002A155A" w:rsidRDefault="00624694" w:rsidP="002A155A">
      <w:pPr>
        <w:shd w:val="clear" w:color="auto" w:fill="FFFFFF"/>
        <w:spacing w:before="100" w:beforeAutospacing="1" w:after="100" w:afterAutospacing="1"/>
        <w:jc w:val="both"/>
        <w:rPr>
          <w:rFonts w:eastAsia="Times New Roman" w:cs="Times New Roman"/>
          <w:color w:val="000000"/>
          <w:kern w:val="0"/>
          <w:lang w:eastAsia="en-GB"/>
          <w14:ligatures w14:val="none"/>
        </w:rPr>
      </w:pPr>
      <w:r w:rsidRPr="002A155A">
        <w:rPr>
          <w:rFonts w:eastAsia="Times New Roman" w:cs="Times New Roman"/>
          <w:color w:val="000000"/>
          <w:kern w:val="0"/>
          <w:lang w:eastAsia="en-GB"/>
          <w14:ligatures w14:val="none"/>
        </w:rPr>
        <w:t xml:space="preserve">Two important international developments over the past </w:t>
      </w:r>
      <w:r w:rsidR="009A412D">
        <w:rPr>
          <w:rFonts w:eastAsia="Times New Roman" w:cs="Times New Roman"/>
          <w:color w:val="000000"/>
          <w:kern w:val="0"/>
          <w:lang w:eastAsia="en-GB"/>
          <w14:ligatures w14:val="none"/>
        </w:rPr>
        <w:t>few</w:t>
      </w:r>
      <w:r w:rsidRPr="002A155A">
        <w:rPr>
          <w:rFonts w:eastAsia="Times New Roman" w:cs="Times New Roman"/>
          <w:color w:val="000000"/>
          <w:kern w:val="0"/>
          <w:lang w:eastAsia="en-GB"/>
          <w14:ligatures w14:val="none"/>
        </w:rPr>
        <w:t xml:space="preserve"> weeks have </w:t>
      </w:r>
      <w:r w:rsidR="00CD5EBE" w:rsidRPr="002A155A">
        <w:rPr>
          <w:rFonts w:eastAsia="Times New Roman" w:cs="Times New Roman"/>
          <w:color w:val="000000"/>
          <w:kern w:val="0"/>
          <w:lang w:eastAsia="en-GB"/>
          <w14:ligatures w14:val="none"/>
        </w:rPr>
        <w:t xml:space="preserve">reinforced commitment to achieving agreed </w:t>
      </w:r>
      <w:r w:rsidR="00A44CA1" w:rsidRPr="002A155A">
        <w:rPr>
          <w:rFonts w:eastAsia="Times New Roman" w:cs="Times New Roman"/>
          <w:color w:val="000000"/>
          <w:kern w:val="0"/>
          <w:lang w:eastAsia="en-GB"/>
          <w14:ligatures w14:val="none"/>
        </w:rPr>
        <w:t xml:space="preserve">global </w:t>
      </w:r>
      <w:r w:rsidR="00CD5EBE" w:rsidRPr="002A155A">
        <w:rPr>
          <w:rFonts w:eastAsia="Times New Roman" w:cs="Times New Roman"/>
          <w:color w:val="000000"/>
          <w:kern w:val="0"/>
          <w:lang w:eastAsia="en-GB"/>
          <w14:ligatures w14:val="none"/>
        </w:rPr>
        <w:t xml:space="preserve">climate goals. </w:t>
      </w:r>
    </w:p>
    <w:p w14:paraId="3481893E" w14:textId="1756B4CE" w:rsidR="009E5D08" w:rsidRPr="009A412D" w:rsidRDefault="00CD5EBE" w:rsidP="002A155A">
      <w:pPr>
        <w:shd w:val="clear" w:color="auto" w:fill="FFFFFF"/>
        <w:spacing w:before="100" w:beforeAutospacing="1" w:after="100" w:afterAutospacing="1"/>
        <w:jc w:val="both"/>
        <w:rPr>
          <w:rFonts w:eastAsia="Times New Roman" w:cs="Times New Roman"/>
          <w:color w:val="000000"/>
          <w:kern w:val="0"/>
          <w:lang w:eastAsia="en-GB"/>
          <w14:ligatures w14:val="none"/>
        </w:rPr>
      </w:pPr>
      <w:r w:rsidRPr="002A155A">
        <w:rPr>
          <w:rFonts w:eastAsia="Times New Roman" w:cs="Times New Roman"/>
          <w:color w:val="000000"/>
          <w:kern w:val="0"/>
          <w:lang w:eastAsia="en-GB"/>
          <w14:ligatures w14:val="none"/>
        </w:rPr>
        <w:t xml:space="preserve">The death of Pope Francis </w:t>
      </w:r>
      <w:r w:rsidR="00F37040" w:rsidRPr="002A155A">
        <w:rPr>
          <w:rFonts w:eastAsia="Times New Roman" w:cs="Times New Roman"/>
          <w:color w:val="000000"/>
          <w:kern w:val="0"/>
          <w:lang w:eastAsia="en-GB"/>
          <w14:ligatures w14:val="none"/>
        </w:rPr>
        <w:t xml:space="preserve">reminded much of humanity of the ethical imperatives of action on climate change. Rector of Melbourne University’s Newman College </w:t>
      </w:r>
      <w:r w:rsidR="009A412D">
        <w:rPr>
          <w:rFonts w:eastAsia="Times New Roman" w:cs="Times New Roman"/>
          <w:color w:val="000000"/>
          <w:kern w:val="0"/>
          <w:lang w:eastAsia="en-GB"/>
          <w14:ligatures w14:val="none"/>
        </w:rPr>
        <w:t xml:space="preserve">Father </w:t>
      </w:r>
      <w:r w:rsidR="00F37040" w:rsidRPr="002A155A">
        <w:rPr>
          <w:rFonts w:eastAsia="Times New Roman" w:cs="Times New Roman"/>
          <w:color w:val="000000"/>
          <w:kern w:val="0"/>
          <w:lang w:eastAsia="en-GB"/>
          <w14:ligatures w14:val="none"/>
        </w:rPr>
        <w:t>Frank Brennan</w:t>
      </w:r>
      <w:r w:rsidR="00A44CA1" w:rsidRPr="002A155A">
        <w:rPr>
          <w:rFonts w:eastAsia="Times New Roman" w:cs="Times New Roman"/>
          <w:color w:val="000000"/>
          <w:kern w:val="0"/>
          <w:lang w:eastAsia="en-GB"/>
          <w14:ligatures w14:val="none"/>
        </w:rPr>
        <w:t xml:space="preserve"> </w:t>
      </w:r>
      <w:r w:rsidR="00F37040" w:rsidRPr="002A155A">
        <w:rPr>
          <w:rFonts w:eastAsia="Times New Roman" w:cs="Times New Roman"/>
          <w:color w:val="000000"/>
          <w:kern w:val="0"/>
          <w:lang w:eastAsia="en-GB"/>
          <w14:ligatures w14:val="none"/>
        </w:rPr>
        <w:t xml:space="preserve">recalled my </w:t>
      </w:r>
      <w:r w:rsidR="00A44CA1" w:rsidRPr="002A155A">
        <w:rPr>
          <w:rFonts w:eastAsia="Times New Roman" w:cs="Times New Roman"/>
          <w:color w:val="000000"/>
          <w:kern w:val="0"/>
          <w:lang w:eastAsia="en-GB"/>
          <w14:ligatures w14:val="none"/>
        </w:rPr>
        <w:t xml:space="preserve">own </w:t>
      </w:r>
      <w:r w:rsidR="002B287F" w:rsidRPr="002A155A">
        <w:rPr>
          <w:rFonts w:eastAsia="Times New Roman" w:cs="Times New Roman"/>
          <w:color w:val="000000"/>
          <w:kern w:val="0"/>
          <w:lang w:eastAsia="en-GB"/>
          <w14:ligatures w14:val="none"/>
        </w:rPr>
        <w:t>praise of the late Pope</w:t>
      </w:r>
      <w:r w:rsidR="00A44CA1" w:rsidRPr="002A155A">
        <w:rPr>
          <w:rFonts w:eastAsia="Times New Roman" w:cs="Times New Roman"/>
          <w:color w:val="000000"/>
          <w:kern w:val="0"/>
          <w:lang w:eastAsia="en-GB"/>
          <w14:ligatures w14:val="none"/>
        </w:rPr>
        <w:t>’</w:t>
      </w:r>
      <w:r w:rsidR="002B287F" w:rsidRPr="002A155A">
        <w:rPr>
          <w:rFonts w:eastAsia="Times New Roman" w:cs="Times New Roman"/>
          <w:color w:val="000000"/>
          <w:kern w:val="0"/>
          <w:lang w:eastAsia="en-GB"/>
          <w14:ligatures w14:val="none"/>
        </w:rPr>
        <w:t>s</w:t>
      </w:r>
      <w:r w:rsidR="00A44CA1" w:rsidRPr="002A155A">
        <w:rPr>
          <w:rFonts w:eastAsia="Times New Roman" w:cs="Times New Roman"/>
          <w:color w:val="000000"/>
          <w:kern w:val="0"/>
          <w:lang w:eastAsia="en-GB"/>
          <w14:ligatures w14:val="none"/>
        </w:rPr>
        <w:t xml:space="preserve"> work on </w:t>
      </w:r>
      <w:r w:rsidR="002A155A" w:rsidRPr="002A155A">
        <w:rPr>
          <w:rFonts w:eastAsia="Times New Roman" w:cs="Times New Roman"/>
          <w:color w:val="000000"/>
          <w:kern w:val="0"/>
          <w:lang w:eastAsia="en-GB"/>
          <w14:ligatures w14:val="none"/>
        </w:rPr>
        <w:t>climate in</w:t>
      </w:r>
      <w:r w:rsidR="00F37040" w:rsidRPr="002A155A">
        <w:rPr>
          <w:rFonts w:eastAsia="Times New Roman" w:cs="Times New Roman"/>
          <w:color w:val="000000"/>
          <w:kern w:val="0"/>
          <w:lang w:eastAsia="en-GB"/>
          <w14:ligatures w14:val="none"/>
        </w:rPr>
        <w:t xml:space="preserve"> </w:t>
      </w:r>
      <w:r w:rsidR="00A44CA1" w:rsidRPr="002A155A">
        <w:rPr>
          <w:rFonts w:eastAsia="Times New Roman" w:cs="Times New Roman"/>
          <w:color w:val="000000"/>
          <w:kern w:val="0"/>
          <w:lang w:eastAsia="en-GB"/>
          <w14:ligatures w14:val="none"/>
        </w:rPr>
        <w:t>my 2015 book Superpower</w:t>
      </w:r>
      <w:r w:rsidR="009A412D">
        <w:rPr>
          <w:rFonts w:eastAsia="Times New Roman" w:cs="Times New Roman"/>
          <w:color w:val="000000"/>
          <w:kern w:val="0"/>
          <w:lang w:eastAsia="en-GB"/>
          <w14:ligatures w14:val="none"/>
        </w:rPr>
        <w:t xml:space="preserve">. </w:t>
      </w:r>
      <w:r w:rsidR="009E5D08" w:rsidRPr="002A155A">
        <w:t>Celebration of Francis’ work since his de</w:t>
      </w:r>
      <w:r w:rsidR="00086230" w:rsidRPr="002A155A">
        <w:t>at</w:t>
      </w:r>
      <w:r w:rsidR="009E5D08" w:rsidRPr="002A155A">
        <w:t xml:space="preserve">h on </w:t>
      </w:r>
      <w:r w:rsidR="00086230" w:rsidRPr="002A155A">
        <w:t>E</w:t>
      </w:r>
      <w:r w:rsidR="009E5D08" w:rsidRPr="002A155A">
        <w:t xml:space="preserve">aster Monday reminds us </w:t>
      </w:r>
      <w:r w:rsidR="009E5D08" w:rsidRPr="002A155A">
        <w:lastRenderedPageBreak/>
        <w:t>that a</w:t>
      </w:r>
      <w:r w:rsidR="00F37040" w:rsidRPr="002A155A">
        <w:t xml:space="preserve"> US or Australian election does not change the </w:t>
      </w:r>
      <w:r w:rsidR="00A44CA1" w:rsidRPr="002A155A">
        <w:t xml:space="preserve">ethics of climate change, any more than it </w:t>
      </w:r>
      <w:r w:rsidR="00086230" w:rsidRPr="002A155A">
        <w:t>change</w:t>
      </w:r>
      <w:r w:rsidR="00A44CA1" w:rsidRPr="002A155A">
        <w:t>s the physics or the economics</w:t>
      </w:r>
      <w:r w:rsidR="00F37040" w:rsidRPr="002A155A">
        <w:t xml:space="preserve">. </w:t>
      </w:r>
    </w:p>
    <w:p w14:paraId="6EFA25FA" w14:textId="4EB6C4F7" w:rsidR="00FE1BEE" w:rsidRPr="002A155A" w:rsidRDefault="00FE1BEE" w:rsidP="002A155A">
      <w:pPr>
        <w:shd w:val="clear" w:color="auto" w:fill="FFFFFF"/>
        <w:spacing w:before="100" w:beforeAutospacing="1" w:after="100" w:afterAutospacing="1"/>
        <w:jc w:val="both"/>
        <w:rPr>
          <w:i/>
          <w:iCs/>
          <w:color w:val="373737"/>
        </w:rPr>
      </w:pPr>
      <w:r w:rsidRPr="002A155A">
        <w:t xml:space="preserve">The second big </w:t>
      </w:r>
      <w:r w:rsidR="00905DD7" w:rsidRPr="002A155A">
        <w:t xml:space="preserve">recent </w:t>
      </w:r>
      <w:r w:rsidRPr="002A155A">
        <w:t xml:space="preserve">international development is the election victory of the Canadian Liberal Party led by Mark Carney. The Canadian Prime Minister is deeply knowledgeable about the climate change challenge to human prosperity and security. </w:t>
      </w:r>
      <w:r w:rsidR="002A6FAA" w:rsidRPr="002A155A">
        <w:t xml:space="preserve">He is deeply knowledgeable about the economics of climate change and its mitigation. </w:t>
      </w:r>
      <w:r w:rsidRPr="002A155A">
        <w:t xml:space="preserve">His victory has reinforced Canadian commitment to </w:t>
      </w:r>
      <w:r w:rsidR="002A6FAA" w:rsidRPr="002A155A">
        <w:t>international cooperation on</w:t>
      </w:r>
      <w:r w:rsidRPr="002A155A">
        <w:t xml:space="preserve"> climate change. </w:t>
      </w:r>
      <w:r w:rsidR="009E5D08" w:rsidRPr="002A155A">
        <w:t>Prime Minister Carney</w:t>
      </w:r>
      <w:r w:rsidRPr="002A155A">
        <w:t xml:space="preserve"> has </w:t>
      </w:r>
      <w:r w:rsidR="002A6FAA" w:rsidRPr="002A155A">
        <w:t xml:space="preserve">emphasised the importance of </w:t>
      </w:r>
      <w:r w:rsidR="009E5D08" w:rsidRPr="002A155A">
        <w:t>countries other than</w:t>
      </w:r>
      <w:r w:rsidR="002A6FAA" w:rsidRPr="002A155A">
        <w:t xml:space="preserve"> the US remaining open to </w:t>
      </w:r>
      <w:r w:rsidR="009E5D08" w:rsidRPr="002A155A">
        <w:t xml:space="preserve">and cooperative with each other on </w:t>
      </w:r>
      <w:r w:rsidR="002A6FAA" w:rsidRPr="002A155A">
        <w:t>trade and climate change</w:t>
      </w:r>
      <w:r w:rsidRPr="002A155A">
        <w:t xml:space="preserve">, while </w:t>
      </w:r>
      <w:r w:rsidR="00C312EA" w:rsidRPr="002A155A">
        <w:t>encouraging but not waiting for</w:t>
      </w:r>
      <w:r w:rsidRPr="002A155A">
        <w:t xml:space="preserve"> eventual US re-engagement. </w:t>
      </w:r>
    </w:p>
    <w:p w14:paraId="553A2BB6" w14:textId="3640CFE6" w:rsidR="00DA2C51" w:rsidRPr="002A155A" w:rsidRDefault="009E5D08" w:rsidP="002A155A">
      <w:pPr>
        <w:jc w:val="both"/>
      </w:pPr>
      <w:r w:rsidRPr="002A155A">
        <w:t>Contemporary and emerging</w:t>
      </w:r>
      <w:r w:rsidR="002A6FAA" w:rsidRPr="002A155A">
        <w:t xml:space="preserve"> international conditions allow Australia to make a strong start in exporting zero-carbon goods. Australian diplomacy and policy can </w:t>
      </w:r>
      <w:r w:rsidRPr="002A155A">
        <w:t xml:space="preserve">help to preserve and </w:t>
      </w:r>
      <w:r w:rsidR="002A6FAA" w:rsidRPr="002A155A">
        <w:t xml:space="preserve">expand those conditions. </w:t>
      </w:r>
    </w:p>
    <w:p w14:paraId="6BF9D12C" w14:textId="48604C79" w:rsidR="00DA2C51" w:rsidRPr="002A155A" w:rsidRDefault="009E5D08" w:rsidP="00F95421">
      <w:pPr>
        <w:shd w:val="clear" w:color="auto" w:fill="FFFFFF"/>
        <w:spacing w:before="100" w:beforeAutospacing="1" w:after="100" w:afterAutospacing="1"/>
        <w:jc w:val="both"/>
      </w:pPr>
      <w:r w:rsidRPr="002A155A">
        <w:rPr>
          <w:rFonts w:eastAsia="Times New Roman" w:cs="Times New Roman"/>
          <w:color w:val="000000"/>
          <w:kern w:val="0"/>
          <w:lang w:eastAsia="en-GB"/>
          <w14:ligatures w14:val="none"/>
        </w:rPr>
        <w:t>Building the Australian Superpower also requires</w:t>
      </w:r>
      <w:r w:rsidR="00C40FEF" w:rsidRPr="002A155A">
        <w:rPr>
          <w:rFonts w:eastAsia="Times New Roman" w:cs="Times New Roman"/>
          <w:color w:val="000000"/>
          <w:kern w:val="0"/>
          <w:lang w:eastAsia="en-GB"/>
          <w14:ligatures w14:val="none"/>
        </w:rPr>
        <w:t xml:space="preserve"> th</w:t>
      </w:r>
      <w:r w:rsidRPr="002A155A">
        <w:rPr>
          <w:rFonts w:eastAsia="Times New Roman" w:cs="Times New Roman"/>
          <w:color w:val="000000"/>
          <w:kern w:val="0"/>
          <w:lang w:eastAsia="en-GB"/>
          <w14:ligatures w14:val="none"/>
        </w:rPr>
        <w:t>e</w:t>
      </w:r>
      <w:r w:rsidR="00C40FEF" w:rsidRPr="002A155A">
        <w:rPr>
          <w:rFonts w:eastAsia="Times New Roman" w:cs="Times New Roman"/>
          <w:color w:val="000000"/>
          <w:kern w:val="0"/>
          <w:lang w:eastAsia="en-GB"/>
          <w14:ligatures w14:val="none"/>
        </w:rPr>
        <w:t xml:space="preserve"> application of sound economic p</w:t>
      </w:r>
      <w:r w:rsidRPr="002A155A">
        <w:rPr>
          <w:rFonts w:eastAsia="Times New Roman" w:cs="Times New Roman"/>
          <w:color w:val="000000"/>
          <w:kern w:val="0"/>
          <w:lang w:eastAsia="en-GB"/>
          <w14:ligatures w14:val="none"/>
        </w:rPr>
        <w:t>rinciples</w:t>
      </w:r>
      <w:r w:rsidR="00C40FEF" w:rsidRPr="002A155A">
        <w:rPr>
          <w:rFonts w:eastAsia="Times New Roman" w:cs="Times New Roman"/>
          <w:color w:val="000000"/>
          <w:kern w:val="0"/>
          <w:lang w:eastAsia="en-GB"/>
          <w14:ligatures w14:val="none"/>
        </w:rPr>
        <w:t xml:space="preserve"> to climate and energy </w:t>
      </w:r>
      <w:r w:rsidRPr="002A155A">
        <w:rPr>
          <w:rFonts w:eastAsia="Times New Roman" w:cs="Times New Roman"/>
          <w:color w:val="000000"/>
          <w:kern w:val="0"/>
          <w:lang w:eastAsia="en-GB"/>
          <w14:ligatures w14:val="none"/>
        </w:rPr>
        <w:t>policy</w:t>
      </w:r>
      <w:r w:rsidR="00C40FEF" w:rsidRPr="002A155A">
        <w:rPr>
          <w:rFonts w:eastAsia="Times New Roman" w:cs="Times New Roman"/>
          <w:color w:val="000000"/>
          <w:kern w:val="0"/>
          <w:lang w:eastAsia="en-GB"/>
          <w14:ligatures w14:val="none"/>
        </w:rPr>
        <w:t>.</w:t>
      </w:r>
      <w:r w:rsidR="00753997" w:rsidRPr="002A155A">
        <w:rPr>
          <w:rFonts w:eastAsia="Times New Roman" w:cs="Times New Roman"/>
          <w:color w:val="000000"/>
          <w:kern w:val="0"/>
          <w:lang w:eastAsia="en-GB"/>
          <w14:ligatures w14:val="none"/>
        </w:rPr>
        <w:t xml:space="preserve"> </w:t>
      </w:r>
    </w:p>
    <w:p w14:paraId="3C116711" w14:textId="3F6AF6DC" w:rsidR="00A90F75" w:rsidRPr="002A155A" w:rsidRDefault="00297BEF" w:rsidP="002A155A">
      <w:pPr>
        <w:pStyle w:val="Heading1"/>
        <w:rPr>
          <w:sz w:val="36"/>
          <w:szCs w:val="36"/>
        </w:rPr>
      </w:pPr>
      <w:r>
        <w:rPr>
          <w:sz w:val="36"/>
          <w:szCs w:val="36"/>
        </w:rPr>
        <w:t>Domestic Economic Policies to Build</w:t>
      </w:r>
      <w:r w:rsidR="00A90F75" w:rsidRPr="002A155A">
        <w:rPr>
          <w:sz w:val="36"/>
          <w:szCs w:val="36"/>
        </w:rPr>
        <w:t xml:space="preserve"> the Superpower </w:t>
      </w:r>
    </w:p>
    <w:p w14:paraId="02ABD3A4" w14:textId="77777777" w:rsidR="00A90F75" w:rsidRPr="002A155A" w:rsidRDefault="00A90F75" w:rsidP="002A155A">
      <w:pPr>
        <w:jc w:val="both"/>
      </w:pPr>
    </w:p>
    <w:p w14:paraId="14E2F39A" w14:textId="26ECA0F4" w:rsidR="00A90F75" w:rsidRPr="002A155A" w:rsidRDefault="00AB2B6D" w:rsidP="002A155A">
      <w:pPr>
        <w:jc w:val="both"/>
      </w:pPr>
      <w:r>
        <w:t xml:space="preserve">If the economic opportunity for the Superpower is so large, why </w:t>
      </w:r>
      <w:r w:rsidR="00A90F75" w:rsidRPr="002A155A">
        <w:t xml:space="preserve">hasn’t the economics </w:t>
      </w:r>
      <w:r>
        <w:t xml:space="preserve">already </w:t>
      </w:r>
      <w:r w:rsidR="00A90F75" w:rsidRPr="002A155A">
        <w:t xml:space="preserve">driven development of green iron, green chemicals and other zero-carbon industrial production? </w:t>
      </w:r>
    </w:p>
    <w:p w14:paraId="61A81730" w14:textId="77777777" w:rsidR="00A90F75" w:rsidRPr="002A155A" w:rsidRDefault="00A90F75" w:rsidP="002A155A">
      <w:pPr>
        <w:jc w:val="both"/>
      </w:pPr>
    </w:p>
    <w:p w14:paraId="722E059F" w14:textId="1A0D89AE" w:rsidR="00136CE4" w:rsidRPr="002A155A" w:rsidRDefault="00A90F75" w:rsidP="002A155A">
      <w:pPr>
        <w:jc w:val="both"/>
      </w:pPr>
      <w:r w:rsidRPr="002A155A">
        <w:t xml:space="preserve">The answer is in simple, uncontested economics. Economics that has been in good textbooks for a hundred years. This economics has been accepted by economists like Friedman and Hayek at the extreme free market end of the debates about the role of Government in economic development. </w:t>
      </w:r>
    </w:p>
    <w:p w14:paraId="6A9AAC28" w14:textId="77777777" w:rsidR="00136CE4" w:rsidRPr="002A155A" w:rsidRDefault="00136CE4" w:rsidP="002A155A">
      <w:pPr>
        <w:jc w:val="both"/>
      </w:pPr>
    </w:p>
    <w:p w14:paraId="4ACB5D10" w14:textId="6EB56857" w:rsidR="00136CE4" w:rsidRDefault="00136CE4" w:rsidP="002A155A">
      <w:pPr>
        <w:jc w:val="both"/>
      </w:pPr>
      <w:r w:rsidRPr="002A155A">
        <w:t>We haven’t yet seen much investment in the industries of the future despite Australia’s advantages</w:t>
      </w:r>
      <w:r w:rsidR="00297BEF">
        <w:t>,</w:t>
      </w:r>
      <w:r w:rsidRPr="002A155A">
        <w:t xml:space="preserve"> because the policy foundations have not been </w:t>
      </w:r>
      <w:r w:rsidR="00200481" w:rsidRPr="002A155A">
        <w:t>laid</w:t>
      </w:r>
      <w:r w:rsidRPr="002A155A">
        <w:t xml:space="preserve">. </w:t>
      </w:r>
      <w:r w:rsidR="00BD2520" w:rsidRPr="002A155A">
        <w:t xml:space="preserve">That is because we have not </w:t>
      </w:r>
      <w:r w:rsidR="00200481" w:rsidRPr="002A155A">
        <w:t xml:space="preserve">had </w:t>
      </w:r>
      <w:r w:rsidRPr="002A155A">
        <w:t xml:space="preserve">financial incentives for innovation in line with the benefits to society. And we have not had the green premium on zero-carbon production that recognises the advantages to us all from reducing greenhouse gas emissions. </w:t>
      </w:r>
    </w:p>
    <w:p w14:paraId="54CA5BBB" w14:textId="77777777" w:rsidR="00136CE4" w:rsidRPr="002A155A" w:rsidRDefault="00136CE4" w:rsidP="002A155A">
      <w:pPr>
        <w:jc w:val="both"/>
      </w:pPr>
    </w:p>
    <w:p w14:paraId="3D0F87DE" w14:textId="36840A09" w:rsidR="00A90F75" w:rsidRPr="002A155A" w:rsidRDefault="00A90F75" w:rsidP="002A155A">
      <w:pPr>
        <w:jc w:val="both"/>
      </w:pPr>
      <w:r w:rsidRPr="002A155A">
        <w:t xml:space="preserve">Markets work wonders for economic development whenever and wherever trade brings benefits to society </w:t>
      </w:r>
      <w:proofErr w:type="gramStart"/>
      <w:r w:rsidRPr="002A155A">
        <w:t>similar to</w:t>
      </w:r>
      <w:proofErr w:type="gramEnd"/>
      <w:r w:rsidRPr="002A155A">
        <w:t xml:space="preserve"> the benefits accruing to the contracting parties. But they don’t work for economic development </w:t>
      </w:r>
      <w:proofErr w:type="gramStart"/>
      <w:r w:rsidRPr="002A155A">
        <w:t>if and when</w:t>
      </w:r>
      <w:proofErr w:type="gramEnd"/>
      <w:r w:rsidRPr="002A155A">
        <w:t xml:space="preserve"> business transactions confer large benefits to firms or people who are not parties to </w:t>
      </w:r>
      <w:r w:rsidR="00200481" w:rsidRPr="002A155A">
        <w:t xml:space="preserve">the </w:t>
      </w:r>
      <w:r w:rsidRPr="002A155A">
        <w:t xml:space="preserve">market </w:t>
      </w:r>
      <w:proofErr w:type="gramStart"/>
      <w:r w:rsidRPr="002A155A">
        <w:t>exchange, or</w:t>
      </w:r>
      <w:proofErr w:type="gramEnd"/>
      <w:r w:rsidRPr="002A155A">
        <w:t xml:space="preserve"> impose large costs on </w:t>
      </w:r>
      <w:r w:rsidR="00200481" w:rsidRPr="002A155A">
        <w:t>parties outside the exchange</w:t>
      </w:r>
      <w:r w:rsidRPr="002A155A">
        <w:t xml:space="preserve">. </w:t>
      </w:r>
    </w:p>
    <w:p w14:paraId="17DC254B" w14:textId="77777777" w:rsidR="00A90F75" w:rsidRPr="002A155A" w:rsidRDefault="00A90F75" w:rsidP="002A155A">
      <w:pPr>
        <w:jc w:val="both"/>
      </w:pPr>
    </w:p>
    <w:p w14:paraId="738F7952" w14:textId="77777777" w:rsidR="00A90F75" w:rsidRPr="002A155A" w:rsidRDefault="00A90F75" w:rsidP="002A155A">
      <w:pPr>
        <w:jc w:val="both"/>
      </w:pPr>
      <w:r w:rsidRPr="002A155A">
        <w:t xml:space="preserve">These are “externalities”—benefits or costs not captured by the parties to the exchange. Two large externalities are important in the transition from the fossil carbon to the zero-carbon economy.  There is a positive externality associated with innovation—the </w:t>
      </w:r>
      <w:r w:rsidRPr="002A155A">
        <w:lastRenderedPageBreak/>
        <w:t xml:space="preserve">development of new technologies, business institutions and products. There is a negative externality from emission of greenhouse gases into the atmosphere. </w:t>
      </w:r>
    </w:p>
    <w:p w14:paraId="622E3F24" w14:textId="77777777" w:rsidR="00A90F75" w:rsidRPr="002A155A" w:rsidRDefault="00A90F75" w:rsidP="002A155A">
      <w:pPr>
        <w:jc w:val="both"/>
      </w:pPr>
    </w:p>
    <w:p w14:paraId="233927C3" w14:textId="77777777" w:rsidR="00A90F75" w:rsidRPr="002A155A" w:rsidRDefault="00A90F75" w:rsidP="002A155A">
      <w:pPr>
        <w:jc w:val="both"/>
      </w:pPr>
      <w:r w:rsidRPr="002A155A">
        <w:t xml:space="preserve">Innovation generates benefits that the investing firms cannot capture for themselves. Pioneer investors in new ways of doing things show others what works and what is not worth trying. They make costly mistakes that followers avoid. They generate knowledge from which </w:t>
      </w:r>
      <w:proofErr w:type="gramStart"/>
      <w:r w:rsidRPr="002A155A">
        <w:t>followers</w:t>
      </w:r>
      <w:proofErr w:type="gramEnd"/>
      <w:r w:rsidRPr="002A155A">
        <w:t xml:space="preserve"> benefit. </w:t>
      </w:r>
    </w:p>
    <w:p w14:paraId="62B73BF4" w14:textId="77777777" w:rsidR="00A90F75" w:rsidRPr="002A155A" w:rsidRDefault="00A90F75" w:rsidP="002A155A">
      <w:pPr>
        <w:jc w:val="both"/>
      </w:pPr>
    </w:p>
    <w:p w14:paraId="2A83F0DC" w14:textId="77777777" w:rsidR="00A90F75" w:rsidRPr="002A155A" w:rsidRDefault="00A90F75" w:rsidP="002A155A">
      <w:pPr>
        <w:jc w:val="both"/>
      </w:pPr>
      <w:r w:rsidRPr="002A155A">
        <w:t xml:space="preserve">Investments that embody “First-of-a-Kind” use of a technology can cost many times as much as applications when the technology is well established. So sound economics has taught for a hundred years that we don’t get enough innovation unless governments provide financial support for it. </w:t>
      </w:r>
    </w:p>
    <w:p w14:paraId="5A606C59" w14:textId="77777777" w:rsidR="006B47DB" w:rsidRPr="002A155A" w:rsidRDefault="006B47DB" w:rsidP="002A155A">
      <w:pPr>
        <w:jc w:val="both"/>
      </w:pPr>
    </w:p>
    <w:p w14:paraId="47A31E52" w14:textId="01266B27" w:rsidR="00200481" w:rsidRPr="002A155A" w:rsidRDefault="00A90F75" w:rsidP="002A155A">
      <w:pPr>
        <w:jc w:val="both"/>
      </w:pPr>
      <w:r w:rsidRPr="002A155A">
        <w:t xml:space="preserve">Markets won’t work for economic development unless governments block economic transactions that impose large costs on </w:t>
      </w:r>
      <w:proofErr w:type="gramStart"/>
      <w:r w:rsidRPr="002A155A">
        <w:t>others, or</w:t>
      </w:r>
      <w:proofErr w:type="gramEnd"/>
      <w:r w:rsidRPr="002A155A">
        <w:t xml:space="preserve"> apply taxes that recoup for society the damage done to others, or subsidise competing activities.</w:t>
      </w:r>
      <w:r w:rsidR="00C312EA" w:rsidRPr="002A155A">
        <w:t xml:space="preserve"> </w:t>
      </w:r>
      <w:r w:rsidR="006B47DB" w:rsidRPr="002A155A">
        <w:t>There is a negative externality—a cost imposed on others--when a firm releases carbon dioxide into the atmosphere.</w:t>
      </w:r>
    </w:p>
    <w:p w14:paraId="113EE395" w14:textId="77777777" w:rsidR="006B47DB" w:rsidRPr="002A155A" w:rsidRDefault="006B47DB" w:rsidP="002A155A">
      <w:pPr>
        <w:jc w:val="both"/>
      </w:pPr>
    </w:p>
    <w:p w14:paraId="49558305" w14:textId="00B8EC84" w:rsidR="006B47DB" w:rsidRPr="002A155A" w:rsidRDefault="006B47DB" w:rsidP="002A155A">
      <w:pPr>
        <w:jc w:val="both"/>
      </w:pPr>
      <w:r w:rsidRPr="002A155A">
        <w:t xml:space="preserve">Australia </w:t>
      </w:r>
      <w:r w:rsidR="00F95421">
        <w:t xml:space="preserve">over the past three years has begun to lay </w:t>
      </w:r>
      <w:r w:rsidR="00200481" w:rsidRPr="002A155A">
        <w:t>the policy foundations</w:t>
      </w:r>
      <w:r w:rsidRPr="002A155A">
        <w:t xml:space="preserve"> for the Superpower. The economic principles are set out clearly and well in the National Interest Framework for A Future Made in Australia released by the Commonwealth Treasury with the 2024 budget. </w:t>
      </w:r>
      <w:r w:rsidR="00D54F20">
        <w:t xml:space="preserve">We have made a start in compensating for the carbon externality with the hydrogen production credit. We have made a start with compensating for the iron externality with the funds put aside for early green iron projects. </w:t>
      </w:r>
      <w:r w:rsidRPr="002A155A">
        <w:t xml:space="preserve">But </w:t>
      </w:r>
      <w:r w:rsidR="00D54F20">
        <w:t xml:space="preserve">to utilise fully our economic opportunity we will need mechanisms for making green premia </w:t>
      </w:r>
      <w:r w:rsidR="00D54F20" w:rsidRPr="002A155A">
        <w:t>equal to the social benefits from replacing emissions-intensive with zero-carbon activity</w:t>
      </w:r>
      <w:r w:rsidR="00D54F20">
        <w:t xml:space="preserve"> generally available. To utilise fully our economic </w:t>
      </w:r>
      <w:proofErr w:type="gramStart"/>
      <w:r w:rsidR="00D54F20">
        <w:t>opportunity</w:t>
      </w:r>
      <w:proofErr w:type="gramEnd"/>
      <w:r w:rsidR="00D54F20">
        <w:t xml:space="preserve"> we will need generally available mechanisms to provide fiscal support for innovation available at levels that support the external economies benefits from increased knowledge. </w:t>
      </w:r>
      <w:proofErr w:type="spellStart"/>
      <w:r w:rsidR="00C47A33">
        <w:t>Investment</w:t>
      </w:r>
      <w:proofErr w:type="spellEnd"/>
      <w:r w:rsidR="00C47A33">
        <w:t xml:space="preserve"> follows if sound policies are seen as being stable for long periods ahead.</w:t>
      </w:r>
    </w:p>
    <w:p w14:paraId="0E6BB13B" w14:textId="77777777" w:rsidR="00200481" w:rsidRPr="002A155A" w:rsidRDefault="00200481" w:rsidP="002A155A">
      <w:pPr>
        <w:jc w:val="both"/>
      </w:pPr>
    </w:p>
    <w:p w14:paraId="1EAF077B" w14:textId="3B6A1DD7" w:rsidR="00200481" w:rsidRPr="002A155A" w:rsidRDefault="00200481" w:rsidP="002A155A">
      <w:pPr>
        <w:jc w:val="both"/>
      </w:pPr>
      <w:r w:rsidRPr="002A155A">
        <w:t xml:space="preserve">Incentives </w:t>
      </w:r>
      <w:r w:rsidR="00C47A33">
        <w:t xml:space="preserve">will unlock </w:t>
      </w:r>
      <w:r w:rsidRPr="002A155A">
        <w:t>the magic of the market in expanding investment and innovation if they are provided in general form</w:t>
      </w:r>
      <w:r w:rsidR="003A3081">
        <w:t xml:space="preserve"> with stability over long periods</w:t>
      </w:r>
      <w:r w:rsidRPr="002A155A">
        <w:t xml:space="preserve">, with conditions known in advance by all market participants. General grants for innovation that are available to all firms that meet specified conditions are </w:t>
      </w:r>
      <w:r w:rsidR="00C47A33">
        <w:t>far superior to</w:t>
      </w:r>
      <w:r w:rsidRPr="002A155A">
        <w:t xml:space="preserve"> those that depend on officials’ discretion and artificial “auctions”. Green premia are most cost-effective if they are available to all market players who meet specified conditions. The emissions trading scheme applied from mid-2012 to mid-2014 and to be linked to Europe from 1 July 2014, worked exactly as anticipated in promoting economic efficiency and reducing emissions. After that, the Renewable Energy Target established by Prime Minister John Howard in 2001, and strengthened by Prime Minister Kevin Rudd in 2011, and the hydrogen tax credit introduced by Prime Minister Anthony Albanese in 2024, are examples of market-enhancing general incentives for low-carbon production. </w:t>
      </w:r>
    </w:p>
    <w:p w14:paraId="709043D6" w14:textId="77777777" w:rsidR="006B47DB" w:rsidRPr="002A155A" w:rsidRDefault="006B47DB" w:rsidP="002A155A">
      <w:pPr>
        <w:jc w:val="both"/>
      </w:pPr>
    </w:p>
    <w:p w14:paraId="1D4951ED" w14:textId="33BDF34B" w:rsidR="00F95421" w:rsidRDefault="006B47DB" w:rsidP="00F95421">
      <w:pPr>
        <w:jc w:val="both"/>
      </w:pPr>
      <w:r w:rsidRPr="002A155A">
        <w:t xml:space="preserve">Some other countries have done better than Australia. The European Union, the UK and other European countries are closest to getting it right, with carbon pricing closer to the </w:t>
      </w:r>
      <w:r w:rsidRPr="002A155A">
        <w:lastRenderedPageBreak/>
        <w:t xml:space="preserve">social cost of carbon, and large financial support for innovation. Australia’s major trading partners in Northeast Asia—China, Japan and Korea—were always strong on support for innovation. They were once laggards on green </w:t>
      </w:r>
      <w:proofErr w:type="gramStart"/>
      <w:r w:rsidRPr="002A155A">
        <w:t>premia, but</w:t>
      </w:r>
      <w:proofErr w:type="gramEnd"/>
      <w:r w:rsidRPr="002A155A">
        <w:t xml:space="preserve"> are edging towards economically rational policies. </w:t>
      </w:r>
    </w:p>
    <w:p w14:paraId="4C5FC11F" w14:textId="77777777" w:rsidR="00C47A33" w:rsidRDefault="00C47A33" w:rsidP="00F95421">
      <w:pPr>
        <w:jc w:val="both"/>
      </w:pPr>
    </w:p>
    <w:p w14:paraId="432EB98F" w14:textId="4517A331" w:rsidR="00C649A2" w:rsidRDefault="00C47A33" w:rsidP="00F95421">
      <w:pPr>
        <w:jc w:val="both"/>
      </w:pPr>
      <w:r>
        <w:t xml:space="preserve">To establish sound policies, we all </w:t>
      </w:r>
      <w:proofErr w:type="gramStart"/>
      <w:r>
        <w:t>have to</w:t>
      </w:r>
      <w:proofErr w:type="gramEnd"/>
      <w:r>
        <w:t xml:space="preserve"> step back from the clang of climate and energy politics in recent years. We </w:t>
      </w:r>
      <w:proofErr w:type="gramStart"/>
      <w:r>
        <w:t>have to</w:t>
      </w:r>
      <w:proofErr w:type="gramEnd"/>
      <w:r>
        <w:t xml:space="preserve"> provide space for development of comprehensive sets of polic</w:t>
      </w:r>
      <w:r w:rsidR="0044270B">
        <w:t>ies</w:t>
      </w:r>
      <w:r>
        <w:t xml:space="preserve"> that </w:t>
      </w:r>
      <w:r w:rsidR="00D54F20">
        <w:t>support</w:t>
      </w:r>
      <w:r>
        <w:t xml:space="preserve"> strong progress towards net zero emissions </w:t>
      </w:r>
      <w:r w:rsidR="001014D6">
        <w:t>by</w:t>
      </w:r>
      <w:r w:rsidR="0044270B">
        <w:t xml:space="preserve"> 2050, reliable and secure power supply a</w:t>
      </w:r>
      <w:r w:rsidR="001014D6">
        <w:t>t the lowest</w:t>
      </w:r>
      <w:r w:rsidR="0044270B">
        <w:t xml:space="preserve"> sustainable costs. We are fortunate </w:t>
      </w:r>
      <w:r w:rsidR="001014D6">
        <w:t>that the Government during the last parliament initiated important work on development of</w:t>
      </w:r>
      <w:r w:rsidR="0044270B">
        <w:t xml:space="preserve"> those sets of policies. The Nelson Committee, established by the Commonwealth Government in </w:t>
      </w:r>
      <w:proofErr w:type="gramStart"/>
      <w:r w:rsidR="0044270B">
        <w:t>2024,  is</w:t>
      </w:r>
      <w:proofErr w:type="gramEnd"/>
      <w:r w:rsidR="0044270B">
        <w:t xml:space="preserve"> working on post-2030 electricity market design. The Productivity Commission is working on separate references given to it in 2024, on how to restore dynamism and productivity growth to the Australian economy, and how to efficiently deliver the transition to net zero emissions. </w:t>
      </w:r>
      <w:r w:rsidR="001014D6">
        <w:t>In addition, t</w:t>
      </w:r>
      <w:r w:rsidR="0044270B">
        <w:t xml:space="preserve">he private and independent Superpower Institute is analysing the nature and extent of Australia’s Superpower </w:t>
      </w:r>
      <w:proofErr w:type="gramStart"/>
      <w:r w:rsidR="0044270B">
        <w:t xml:space="preserve">opportunity, </w:t>
      </w:r>
      <w:r w:rsidR="002A03C0">
        <w:t>and</w:t>
      </w:r>
      <w:proofErr w:type="gramEnd"/>
      <w:r w:rsidR="002A03C0">
        <w:t xml:space="preserve"> </w:t>
      </w:r>
      <w:r w:rsidR="0044270B">
        <w:t xml:space="preserve">working on the policies that will efficiently support the development of the new zero-carbon export industries. </w:t>
      </w:r>
      <w:r w:rsidR="001014D6">
        <w:t>T</w:t>
      </w:r>
      <w:r w:rsidR="0044270B">
        <w:t xml:space="preserve">hese streams of work will support public discussion of policy choice over the remainder of this year. </w:t>
      </w:r>
    </w:p>
    <w:p w14:paraId="02F7AA8E" w14:textId="77777777" w:rsidR="002A03C0" w:rsidRDefault="002A03C0" w:rsidP="00F95421">
      <w:pPr>
        <w:jc w:val="both"/>
      </w:pPr>
    </w:p>
    <w:p w14:paraId="054C58BB" w14:textId="517F33FE" w:rsidR="002A03C0" w:rsidRDefault="002A03C0" w:rsidP="00F95421">
      <w:pPr>
        <w:jc w:val="both"/>
      </w:pPr>
      <w:r>
        <w:t xml:space="preserve">I suggest that we discuss the results of the work as it comes out from the perspective of </w:t>
      </w:r>
      <w:r w:rsidR="001014D6">
        <w:t xml:space="preserve">our </w:t>
      </w:r>
      <w:r>
        <w:t xml:space="preserve">shared interests in secure and reliable energy supply to established and new industry. </w:t>
      </w:r>
      <w:proofErr w:type="spellStart"/>
      <w:proofErr w:type="gramStart"/>
      <w:r>
        <w:t>Lets</w:t>
      </w:r>
      <w:proofErr w:type="spellEnd"/>
      <w:proofErr w:type="gramEnd"/>
      <w:r>
        <w:t xml:space="preserve"> allow the public interest t</w:t>
      </w:r>
      <w:r w:rsidR="001014D6">
        <w:t>o occupy</w:t>
      </w:r>
      <w:r>
        <w:t xml:space="preserve"> central place in our energy policy discussion for the first time in </w:t>
      </w:r>
      <w:r w:rsidR="001014D6">
        <w:t>nearly one and a half decades</w:t>
      </w:r>
      <w:r>
        <w:t xml:space="preserve">.  </w:t>
      </w:r>
    </w:p>
    <w:p w14:paraId="395CCFF3" w14:textId="77777777" w:rsidR="0044270B" w:rsidRDefault="0044270B" w:rsidP="00F95421">
      <w:pPr>
        <w:jc w:val="both"/>
      </w:pPr>
    </w:p>
    <w:p w14:paraId="020353AD" w14:textId="37DCB89E" w:rsidR="002A03C0" w:rsidRDefault="002A03C0" w:rsidP="00F95421">
      <w:pPr>
        <w:jc w:val="both"/>
      </w:pPr>
      <w:r>
        <w:t xml:space="preserve">Our extraordinarily rich renewable energy resources have allowed us to make considerable progress </w:t>
      </w:r>
      <w:r w:rsidR="0099235D">
        <w:t xml:space="preserve">despite </w:t>
      </w:r>
      <w:r>
        <w:t xml:space="preserve">the policy imperfection </w:t>
      </w:r>
      <w:r w:rsidR="001014D6">
        <w:t xml:space="preserve">and instability </w:t>
      </w:r>
      <w:r>
        <w:t>of the past dozen years</w:t>
      </w:r>
      <w:r w:rsidR="0099235D">
        <w:t>.</w:t>
      </w:r>
      <w:r>
        <w:t xml:space="preserve"> </w:t>
      </w:r>
      <w:r w:rsidR="0099235D">
        <w:t>W</w:t>
      </w:r>
      <w:r>
        <w:t>e have become the developed country with the largest share of low-cost solar and wind power in the world. In parts of the country, we have led the world in demonstrati</w:t>
      </w:r>
      <w:r w:rsidR="001014D6">
        <w:t>ng</w:t>
      </w:r>
      <w:r>
        <w:t xml:space="preserve"> how low-cost solar and wind power can supply the whole of a region’s power requirements </w:t>
      </w:r>
      <w:r w:rsidR="0099235D">
        <w:t xml:space="preserve">for extended periods </w:t>
      </w:r>
      <w:r>
        <w:t xml:space="preserve">with high security and reliability. We are home to the world’s largest investment boom in grid-scale batteries to stabilise a power system dominated by variable renewable energy. </w:t>
      </w:r>
    </w:p>
    <w:p w14:paraId="2AFAFEDC" w14:textId="77777777" w:rsidR="002A03C0" w:rsidRDefault="002A03C0" w:rsidP="00F95421">
      <w:pPr>
        <w:jc w:val="both"/>
      </w:pPr>
    </w:p>
    <w:p w14:paraId="0DA248B6" w14:textId="77777777" w:rsidR="001014D6" w:rsidRDefault="00AB2B6D" w:rsidP="00F95421">
      <w:pPr>
        <w:jc w:val="both"/>
      </w:pPr>
      <w:r>
        <w:t>Get the policy foundations right, and we will be surp</w:t>
      </w:r>
      <w:r w:rsidR="0099235D">
        <w:t>r</w:t>
      </w:r>
      <w:r>
        <w:t xml:space="preserve">ised </w:t>
      </w:r>
      <w:r w:rsidR="0099235D">
        <w:t>how rapidly and cheaply we move to zero net emissions in the energy sector</w:t>
      </w:r>
      <w:r w:rsidR="004B55D5">
        <w:t>. And we will be surprised how quickly growth in energy-intensive export industries drive</w:t>
      </w:r>
      <w:r w:rsidR="001014D6">
        <w:t>s</w:t>
      </w:r>
      <w:r w:rsidR="004B55D5">
        <w:t xml:space="preserve"> productivity and output growth through a major transformation of the Australian economy. By mid-century, the electricity system driving Australian economic development </w:t>
      </w:r>
      <w:r w:rsidR="001014D6">
        <w:t>can</w:t>
      </w:r>
      <w:r w:rsidR="004B55D5">
        <w:t xml:space="preserve"> be 10 times and more as </w:t>
      </w:r>
      <w:r w:rsidR="001014D6">
        <w:t xml:space="preserve">large as </w:t>
      </w:r>
      <w:r w:rsidR="004B55D5">
        <w:t xml:space="preserve">that which powers Australia today. </w:t>
      </w:r>
    </w:p>
    <w:p w14:paraId="23B8C6D1" w14:textId="77777777" w:rsidR="001014D6" w:rsidRDefault="001014D6" w:rsidP="00F95421">
      <w:pPr>
        <w:jc w:val="both"/>
      </w:pPr>
    </w:p>
    <w:p w14:paraId="7398C3C6" w14:textId="748859A5" w:rsidR="00AB2B6D" w:rsidRPr="00F95421" w:rsidRDefault="001014D6" w:rsidP="00F95421">
      <w:pPr>
        <w:jc w:val="both"/>
      </w:pPr>
      <w:proofErr w:type="spellStart"/>
      <w:proofErr w:type="gramStart"/>
      <w:r>
        <w:t>Lets</w:t>
      </w:r>
      <w:proofErr w:type="spellEnd"/>
      <w:proofErr w:type="gramEnd"/>
      <w:r>
        <w:t xml:space="preserve"> make sure that our thoughts about policy are big enough to allow that future to emerge. </w:t>
      </w:r>
      <w:r w:rsidR="004B55D5">
        <w:t xml:space="preserve"> </w:t>
      </w:r>
    </w:p>
    <w:p w14:paraId="20D8B463" w14:textId="77777777" w:rsidR="00F95421" w:rsidRPr="002A155A" w:rsidRDefault="00F95421" w:rsidP="00F95421">
      <w:pPr>
        <w:pStyle w:val="Heading1"/>
        <w:rPr>
          <w:sz w:val="36"/>
          <w:szCs w:val="36"/>
        </w:rPr>
      </w:pPr>
      <w:r w:rsidRPr="002A155A">
        <w:rPr>
          <w:sz w:val="36"/>
          <w:szCs w:val="36"/>
        </w:rPr>
        <w:t>Rumours of Hydrogen’s Death are Exaggerated</w:t>
      </w:r>
    </w:p>
    <w:p w14:paraId="348CF1CA" w14:textId="77777777" w:rsidR="00F95421" w:rsidRPr="002A155A" w:rsidRDefault="00F95421" w:rsidP="00F95421"/>
    <w:p w14:paraId="1E249239" w14:textId="7DE774F3" w:rsidR="00F95421" w:rsidRDefault="00F95421" w:rsidP="00F95421">
      <w:pPr>
        <w:jc w:val="both"/>
      </w:pPr>
      <w:r w:rsidRPr="002A155A">
        <w:lastRenderedPageBreak/>
        <w:t xml:space="preserve">Several of the most important potential Superpower industries use hydrogen made with renewable energy. Recent announcements that many prominent hydrogen projects have been closed or shelved has generated talk that hydrogen is dead, or too underdeveloped for independent life. Like Mark Twain’s death, those rumours are exaggerated. </w:t>
      </w:r>
    </w:p>
    <w:p w14:paraId="0E62CE61" w14:textId="77777777" w:rsidR="004B55D5" w:rsidRDefault="004B55D5" w:rsidP="00F95421">
      <w:pPr>
        <w:jc w:val="both"/>
      </w:pPr>
    </w:p>
    <w:p w14:paraId="70130767" w14:textId="0CDC71C3" w:rsidR="004B55D5" w:rsidRPr="002A155A" w:rsidRDefault="004B55D5" w:rsidP="00F95421">
      <w:pPr>
        <w:jc w:val="both"/>
      </w:pPr>
      <w:r>
        <w:t>Hydrogen i</w:t>
      </w:r>
      <w:r w:rsidR="001014D6">
        <w:t xml:space="preserve">s </w:t>
      </w:r>
      <w:r>
        <w:t>a large part of Australia’s Superpower story</w:t>
      </w:r>
      <w:r w:rsidR="001014D6">
        <w:t>. I</w:t>
      </w:r>
      <w:r>
        <w:t xml:space="preserve">t is worth taking a closer look. </w:t>
      </w:r>
      <w:r w:rsidR="001014D6">
        <w:t>I can apply personal experience to that look.</w:t>
      </w:r>
      <w:r w:rsidR="00DA318F">
        <w:t xml:space="preserve"> ZEN </w:t>
      </w:r>
      <w:r w:rsidR="001014D6">
        <w:t>E</w:t>
      </w:r>
      <w:r w:rsidR="00DA318F">
        <w:t xml:space="preserve">nergy, the company of which I am a </w:t>
      </w:r>
      <w:proofErr w:type="gramStart"/>
      <w:r w:rsidR="00DA318F">
        <w:t>Director</w:t>
      </w:r>
      <w:proofErr w:type="gramEnd"/>
      <w:r w:rsidR="00DA318F">
        <w:t xml:space="preserve">, has been working on what we think are Australia’s most advanced industrial projects producing zero-carbon goods from green hydrogen. One is in South Australia, to produce green iron. </w:t>
      </w:r>
    </w:p>
    <w:p w14:paraId="7C0A6540" w14:textId="77777777" w:rsidR="00F95421" w:rsidRPr="002A155A" w:rsidRDefault="00F95421" w:rsidP="00F95421">
      <w:pPr>
        <w:jc w:val="both"/>
      </w:pPr>
    </w:p>
    <w:p w14:paraId="35DB5292" w14:textId="77777777" w:rsidR="00F95421" w:rsidRPr="002A155A" w:rsidRDefault="00F95421" w:rsidP="00F95421">
      <w:pPr>
        <w:jc w:val="both"/>
      </w:pPr>
      <w:r w:rsidRPr="002A155A">
        <w:t xml:space="preserve">Let’s be clear from the start that hydrogen’s main role in Australia’s economic future was always </w:t>
      </w:r>
      <w:r>
        <w:t xml:space="preserve">going to be </w:t>
      </w:r>
      <w:r w:rsidRPr="002A155A">
        <w:t xml:space="preserve">as an input into industry, and not as an export in liquid form like LNG. </w:t>
      </w:r>
    </w:p>
    <w:p w14:paraId="39FB6A81" w14:textId="77777777" w:rsidR="00F95421" w:rsidRPr="002A155A" w:rsidRDefault="00F95421" w:rsidP="00F95421">
      <w:pPr>
        <w:jc w:val="both"/>
      </w:pPr>
    </w:p>
    <w:p w14:paraId="7D31AAEE" w14:textId="77777777" w:rsidR="00F95421" w:rsidRPr="002A155A" w:rsidRDefault="00F95421" w:rsidP="00F95421">
      <w:pPr>
        <w:jc w:val="both"/>
      </w:pPr>
      <w:r w:rsidRPr="002A155A">
        <w:t xml:space="preserve">In the fossil carbon economy, Japan, Korea and China import huge quantities of Australian iron ore and coal and put them together to make iron metal, releasing greenhouse gases as a waste. Conversion of Australian iron ore into iron and steel produces three times the carbon emissions as everything we do in Australia. </w:t>
      </w:r>
    </w:p>
    <w:p w14:paraId="75776505" w14:textId="77777777" w:rsidR="00F95421" w:rsidRPr="002A155A" w:rsidRDefault="00F95421" w:rsidP="00F95421">
      <w:pPr>
        <w:jc w:val="both"/>
      </w:pPr>
    </w:p>
    <w:p w14:paraId="006B54B3" w14:textId="77777777" w:rsidR="00F95421" w:rsidRPr="002A155A" w:rsidRDefault="00F95421" w:rsidP="00F95421">
      <w:pPr>
        <w:jc w:val="both"/>
      </w:pPr>
      <w:r w:rsidRPr="002A155A">
        <w:t xml:space="preserve">Why didn’t we make iron at home in the fossil carbon economy? That’s partly transport economics. It costs less to use Australian metallurgical coal in Kobe, Pusan or Shanghai than in Whyalla. And it’s partly because, unlike other large exporters of </w:t>
      </w:r>
      <w:r>
        <w:t xml:space="preserve">methane </w:t>
      </w:r>
      <w:r w:rsidRPr="002A155A">
        <w:t xml:space="preserve">gas, we choose not to make gas available cheaply for industrial use at home. </w:t>
      </w:r>
    </w:p>
    <w:p w14:paraId="309D0F73" w14:textId="77777777" w:rsidR="00F95421" w:rsidRPr="002A155A" w:rsidRDefault="00F95421" w:rsidP="00F95421">
      <w:pPr>
        <w:jc w:val="both"/>
      </w:pPr>
    </w:p>
    <w:p w14:paraId="14668001" w14:textId="77777777" w:rsidR="00F95421" w:rsidRPr="002A155A" w:rsidRDefault="00F95421" w:rsidP="00F95421">
      <w:pPr>
        <w:jc w:val="both"/>
      </w:pPr>
      <w:r w:rsidRPr="002A155A">
        <w:t xml:space="preserve">Hydrogen is much harder and more expensive to convert into a liquid than methane gas and much harder and more expensive to ship across the ocean. Unlike Australian gas and coal, hydrogen for industry would be several times as expensive in importing countries as in Australia. As Reuben </w:t>
      </w:r>
      <w:proofErr w:type="spellStart"/>
      <w:r w:rsidRPr="002A155A">
        <w:t>Finighan</w:t>
      </w:r>
      <w:proofErr w:type="spellEnd"/>
      <w:r w:rsidRPr="002A155A">
        <w:t xml:space="preserve"> set out in the Superpower Institute’s paper “The New Energy Trade” last November, only a few small and rich economies would ever carry and justify those costs. The high costs of international transport for hydrogen mean that its main economic value is in producing here in Australia many of the products that are currently made overseas with Australian coal and gas. Foremost amongst these is the reduction of iron and some other mineral ores into metals, and the use of hydrogen with sustainably harvested biomass in production of green transport fuels and some other chemical manufactures. </w:t>
      </w:r>
    </w:p>
    <w:p w14:paraId="3B496172" w14:textId="77777777" w:rsidR="00F95421" w:rsidRPr="002A155A" w:rsidRDefault="00F95421" w:rsidP="00F95421">
      <w:pPr>
        <w:jc w:val="both"/>
      </w:pPr>
    </w:p>
    <w:p w14:paraId="092C21A8" w14:textId="77777777" w:rsidR="00F95421" w:rsidRPr="002A155A" w:rsidRDefault="00F95421" w:rsidP="00F95421">
      <w:pPr>
        <w:jc w:val="both"/>
      </w:pPr>
      <w:r w:rsidRPr="002A155A">
        <w:t>Although it was peripheral to the Superpower narrative, direct export of hydrogen and its carriers dominated the hydrogen hype that emerged a few years ago. That was a mistake and a pity. The bursting of that hydrogen bubble was inevitable and necessary. The bursting of the bubble returns the emphasis to the use of hydrogen in zero-carbon industrial production.</w:t>
      </w:r>
    </w:p>
    <w:p w14:paraId="7D13CD8B" w14:textId="77777777" w:rsidR="00F95421" w:rsidRPr="002A155A" w:rsidRDefault="00F95421" w:rsidP="00F95421">
      <w:pPr>
        <w:jc w:val="both"/>
      </w:pPr>
    </w:p>
    <w:p w14:paraId="7BC15171" w14:textId="2E0F8F99" w:rsidR="00F95421" w:rsidRPr="002A155A" w:rsidRDefault="00F95421" w:rsidP="00F95421">
      <w:pPr>
        <w:jc w:val="both"/>
      </w:pPr>
      <w:r w:rsidRPr="002A155A">
        <w:t xml:space="preserve">Apply sound economic principles to policy and the first hydrogen-based investments in new export industries are ready to go now. Hydrogen-based </w:t>
      </w:r>
      <w:proofErr w:type="gramStart"/>
      <w:r w:rsidRPr="002A155A">
        <w:t>iron-making</w:t>
      </w:r>
      <w:proofErr w:type="gramEnd"/>
      <w:r w:rsidRPr="002A155A">
        <w:t xml:space="preserve"> is ready for investment now in the Upper Spencer Gulf of South Australia.  </w:t>
      </w:r>
    </w:p>
    <w:p w14:paraId="425E574F" w14:textId="77777777" w:rsidR="00F95421" w:rsidRPr="002A155A" w:rsidRDefault="00F95421" w:rsidP="00F95421">
      <w:pPr>
        <w:jc w:val="both"/>
      </w:pPr>
    </w:p>
    <w:p w14:paraId="384843E5" w14:textId="225B2344" w:rsidR="00F95421" w:rsidRDefault="00F95421" w:rsidP="00F95421">
      <w:pPr>
        <w:jc w:val="both"/>
      </w:pPr>
      <w:r w:rsidRPr="002A155A">
        <w:lastRenderedPageBreak/>
        <w:t xml:space="preserve">Whyalla will have a sustainable future in </w:t>
      </w:r>
      <w:proofErr w:type="gramStart"/>
      <w:r w:rsidRPr="002A155A">
        <w:t>iron-making</w:t>
      </w:r>
      <w:proofErr w:type="gramEnd"/>
      <w:r w:rsidRPr="002A155A">
        <w:t xml:space="preserve"> based on green hydrogen, or it will have no sustainable future at all. </w:t>
      </w:r>
    </w:p>
    <w:p w14:paraId="7043E364" w14:textId="77777777" w:rsidR="00DA318F" w:rsidRDefault="00DA318F" w:rsidP="00F95421">
      <w:pPr>
        <w:jc w:val="both"/>
      </w:pPr>
    </w:p>
    <w:p w14:paraId="47377582" w14:textId="1891AB22" w:rsidR="00050BD1" w:rsidRDefault="00DA318F" w:rsidP="00050BD1">
      <w:pPr>
        <w:jc w:val="both"/>
      </w:pPr>
      <w:r>
        <w:t>The existing Whyalla steel mill produces about one million tonnes of products when it is working well at full capacity. It could be supplied with a million tonnes per annum of green iron using green hydrogen by using only existing, electricity transmission, water, port and urban infrastructure. It could therefore be producing iron metal on the earliest possible timetable for an electric arc steel furnace installed at Whyalla. Once in place, no-one will ever ag</w:t>
      </w:r>
      <w:r w:rsidR="00594300">
        <w:t>a</w:t>
      </w:r>
      <w:r>
        <w:t xml:space="preserve">in consider investment in extending the life of old or building new </w:t>
      </w:r>
      <w:r w:rsidR="002A11E0">
        <w:t xml:space="preserve">coal-based or gas-based </w:t>
      </w:r>
      <w:proofErr w:type="gramStart"/>
      <w:r w:rsidR="002A11E0">
        <w:t>iron-making</w:t>
      </w:r>
      <w:proofErr w:type="gramEnd"/>
      <w:r w:rsidR="002A11E0">
        <w:t xml:space="preserve"> in the 5 states covered by the National Electricity Market. The world steel industry’s eyes</w:t>
      </w:r>
      <w:r w:rsidR="00C40B25">
        <w:t xml:space="preserve"> </w:t>
      </w:r>
      <w:r w:rsidR="002A11E0">
        <w:t xml:space="preserve">will turn to Australia as the </w:t>
      </w:r>
      <w:r w:rsidR="00C40B25">
        <w:t xml:space="preserve">locus of much of the solution to decarbonisation of </w:t>
      </w:r>
      <w:r w:rsidR="002A11E0">
        <w:t>an industry accounting for 8% of global emissions</w:t>
      </w:r>
      <w:r w:rsidR="00C40B25">
        <w:t>.</w:t>
      </w:r>
      <w:r w:rsidR="002A11E0">
        <w:t xml:space="preserve"> We will have placed Australia on the escalator to the Superpower.</w:t>
      </w:r>
      <w:r>
        <w:t xml:space="preserve"> </w:t>
      </w:r>
    </w:p>
    <w:p w14:paraId="7F0D5C90" w14:textId="77777777" w:rsidR="00C40B25" w:rsidRDefault="00C40B25" w:rsidP="00050BD1">
      <w:pPr>
        <w:jc w:val="both"/>
      </w:pPr>
    </w:p>
    <w:p w14:paraId="5C480BBB" w14:textId="3E73395F" w:rsidR="00C40B25" w:rsidRDefault="00C40B25" w:rsidP="00050BD1">
      <w:pPr>
        <w:jc w:val="both"/>
      </w:pPr>
      <w:r>
        <w:t xml:space="preserve">Incidentally, the establishment of a one million tonne green iron plant in Whyalla will make a major contribution to </w:t>
      </w:r>
      <w:proofErr w:type="spellStart"/>
      <w:r>
        <w:t>achieveing</w:t>
      </w:r>
      <w:proofErr w:type="spellEnd"/>
      <w:r>
        <w:t xml:space="preserve"> high reliability in a South Australian electricity system that is mainly supplied form wind and solar. The iron and steel plants will use electricity at around half the current South Australian system. It will be highly flexible load, drawing on power from the grid when it is abundant and cheap, and contributing large </w:t>
      </w:r>
      <w:proofErr w:type="spellStart"/>
      <w:r>
        <w:t>amoubts</w:t>
      </w:r>
      <w:proofErr w:type="spellEnd"/>
      <w:r>
        <w:t xml:space="preserve"> of power when it is scarce and valuable. </w:t>
      </w:r>
    </w:p>
    <w:p w14:paraId="1E06B5B9" w14:textId="77777777" w:rsidR="00050BD1" w:rsidRDefault="002A11E0" w:rsidP="00050BD1">
      <w:pPr>
        <w:pStyle w:val="Heading1"/>
      </w:pPr>
      <w:r>
        <w:t>Using Australia’s Strengths After the 2025 Election.</w:t>
      </w:r>
    </w:p>
    <w:p w14:paraId="0A9B260F" w14:textId="77777777" w:rsidR="00050BD1" w:rsidRDefault="00050BD1" w:rsidP="00050BD1">
      <w:pPr>
        <w:jc w:val="both"/>
      </w:pPr>
    </w:p>
    <w:p w14:paraId="6F80FF3F" w14:textId="2916BFD7" w:rsidR="00050BD1" w:rsidRPr="003F6E95" w:rsidRDefault="003412C1" w:rsidP="003F6E95">
      <w:pPr>
        <w:jc w:val="both"/>
      </w:pPr>
      <w:r w:rsidRPr="002A155A">
        <w:rPr>
          <w:lang w:eastAsia="en-GB"/>
        </w:rPr>
        <w:t xml:space="preserve">Saturday’s election </w:t>
      </w:r>
      <w:r w:rsidR="002A11E0">
        <w:rPr>
          <w:rFonts w:eastAsia="Times New Roman"/>
          <w:lang w:eastAsia="en-GB"/>
        </w:rPr>
        <w:t>ha</w:t>
      </w:r>
      <w:r w:rsidR="00C40B25">
        <w:rPr>
          <w:rFonts w:eastAsia="Times New Roman"/>
          <w:lang w:eastAsia="en-GB"/>
        </w:rPr>
        <w:t>s</w:t>
      </w:r>
      <w:r w:rsidRPr="002A155A">
        <w:rPr>
          <w:lang w:eastAsia="en-GB"/>
        </w:rPr>
        <w:t xml:space="preserve"> </w:t>
      </w:r>
      <w:r w:rsidR="009C16B0" w:rsidRPr="002A155A">
        <w:rPr>
          <w:lang w:eastAsia="en-GB"/>
        </w:rPr>
        <w:t>not change</w:t>
      </w:r>
      <w:r w:rsidR="002A11E0">
        <w:rPr>
          <w:rFonts w:eastAsia="Times New Roman"/>
          <w:lang w:eastAsia="en-GB"/>
        </w:rPr>
        <w:t>d</w:t>
      </w:r>
      <w:r w:rsidR="009C16B0" w:rsidRPr="002A155A">
        <w:rPr>
          <w:lang w:eastAsia="en-GB"/>
        </w:rPr>
        <w:t xml:space="preserve"> in any way</w:t>
      </w:r>
      <w:r w:rsidRPr="002A155A">
        <w:rPr>
          <w:lang w:eastAsia="en-GB"/>
        </w:rPr>
        <w:t xml:space="preserve"> the physic</w:t>
      </w:r>
      <w:r w:rsidR="006B47DB" w:rsidRPr="002A155A">
        <w:rPr>
          <w:lang w:eastAsia="en-GB"/>
        </w:rPr>
        <w:t>s</w:t>
      </w:r>
      <w:r w:rsidRPr="002A155A">
        <w:rPr>
          <w:lang w:eastAsia="en-GB"/>
        </w:rPr>
        <w:t xml:space="preserve">, economics or ethics of climate change. </w:t>
      </w:r>
      <w:r w:rsidR="002A11E0">
        <w:rPr>
          <w:rFonts w:eastAsia="Times New Roman"/>
          <w:lang w:eastAsia="en-GB"/>
        </w:rPr>
        <w:t xml:space="preserve">What it has changed is the capacity of Government in Australia to establish and maintain policies that will </w:t>
      </w:r>
      <w:r w:rsidR="00C40B25">
        <w:rPr>
          <w:rFonts w:eastAsia="Times New Roman"/>
          <w:lang w:eastAsia="en-GB"/>
        </w:rPr>
        <w:t>allow us</w:t>
      </w:r>
      <w:r w:rsidR="002A11E0">
        <w:rPr>
          <w:rFonts w:eastAsia="Times New Roman"/>
          <w:lang w:eastAsia="en-GB"/>
        </w:rPr>
        <w:t xml:space="preserve"> to </w:t>
      </w:r>
      <w:r w:rsidR="00C40B25">
        <w:rPr>
          <w:rFonts w:eastAsia="Times New Roman"/>
          <w:lang w:eastAsia="en-GB"/>
        </w:rPr>
        <w:t xml:space="preserve">reduce domestic emissions in line with our </w:t>
      </w:r>
      <w:proofErr w:type="spellStart"/>
      <w:r w:rsidR="00C40B25">
        <w:rPr>
          <w:rFonts w:eastAsia="Times New Roman"/>
          <w:lang w:eastAsia="en-GB"/>
        </w:rPr>
        <w:t>interntional</w:t>
      </w:r>
      <w:proofErr w:type="spellEnd"/>
      <w:r w:rsidR="00C40B25">
        <w:rPr>
          <w:rFonts w:eastAsia="Times New Roman"/>
          <w:lang w:eastAsia="en-GB"/>
        </w:rPr>
        <w:t xml:space="preserve"> obligations. </w:t>
      </w:r>
      <w:r w:rsidR="002A11E0">
        <w:rPr>
          <w:rFonts w:eastAsia="Times New Roman"/>
          <w:lang w:eastAsia="en-GB"/>
        </w:rPr>
        <w:t xml:space="preserve">It has strengthened the capacity of Government </w:t>
      </w:r>
      <w:r w:rsidR="00C40B25">
        <w:rPr>
          <w:rFonts w:eastAsia="Times New Roman"/>
          <w:lang w:eastAsia="en-GB"/>
        </w:rPr>
        <w:t xml:space="preserve">to introduce and sustain policies that support </w:t>
      </w:r>
      <w:r w:rsidR="002A11E0">
        <w:rPr>
          <w:rFonts w:eastAsia="Times New Roman"/>
          <w:lang w:eastAsia="en-GB"/>
        </w:rPr>
        <w:t xml:space="preserve">Australia </w:t>
      </w:r>
      <w:r w:rsidR="00C40B25">
        <w:rPr>
          <w:rFonts w:eastAsia="Times New Roman"/>
          <w:lang w:eastAsia="en-GB"/>
        </w:rPr>
        <w:t>in</w:t>
      </w:r>
      <w:r w:rsidR="002A11E0">
        <w:rPr>
          <w:rFonts w:eastAsia="Times New Roman"/>
          <w:lang w:eastAsia="en-GB"/>
        </w:rPr>
        <w:t xml:space="preserve"> contribut</w:t>
      </w:r>
      <w:r w:rsidR="00C40B25">
        <w:rPr>
          <w:rFonts w:eastAsia="Times New Roman"/>
          <w:lang w:eastAsia="en-GB"/>
        </w:rPr>
        <w:t>ing</w:t>
      </w:r>
      <w:r w:rsidR="002A11E0">
        <w:rPr>
          <w:rFonts w:eastAsia="Times New Roman"/>
          <w:lang w:eastAsia="en-GB"/>
        </w:rPr>
        <w:t xml:space="preserve"> disproportionately to global decarbonisation by supplying goods embodying renewable energy that the high-income economies of Northeast Asia and Europe cannot supply at reasonable cost from their own resources. It has opened an opportunity for Australia to leave behind a dozen years of stagnation of living standards, and to enter a new era of full employment with rising incomes for an increasing populati</w:t>
      </w:r>
      <w:r w:rsidR="00050BD1">
        <w:rPr>
          <w:rFonts w:eastAsia="Times New Roman"/>
          <w:lang w:eastAsia="en-GB"/>
        </w:rPr>
        <w:t>on.</w:t>
      </w:r>
    </w:p>
    <w:p w14:paraId="4887FCEE" w14:textId="4D1B031A" w:rsidR="00A90F75" w:rsidRPr="00DF646B" w:rsidRDefault="00050BD1" w:rsidP="00C40B25">
      <w:pPr>
        <w:pStyle w:val="Heading2"/>
        <w:rPr>
          <w:sz w:val="24"/>
          <w:szCs w:val="24"/>
        </w:rPr>
      </w:pPr>
      <w:r w:rsidRPr="00DF646B">
        <w:rPr>
          <w:sz w:val="24"/>
          <w:szCs w:val="24"/>
        </w:rPr>
        <w:t>In the new circumstances of secure Federal Government in Australia</w:t>
      </w:r>
      <w:r w:rsidR="00C40B25" w:rsidRPr="00DF646B">
        <w:rPr>
          <w:sz w:val="24"/>
          <w:szCs w:val="24"/>
        </w:rPr>
        <w:t>, we in the energy industries can commit to</w:t>
      </w:r>
      <w:r w:rsidRPr="00DF646B">
        <w:rPr>
          <w:sz w:val="24"/>
          <w:szCs w:val="24"/>
        </w:rPr>
        <w:t xml:space="preserve"> support</w:t>
      </w:r>
      <w:r w:rsidR="00C40B25" w:rsidRPr="00DF646B">
        <w:rPr>
          <w:sz w:val="24"/>
          <w:szCs w:val="24"/>
        </w:rPr>
        <w:t>ing</w:t>
      </w:r>
      <w:r w:rsidRPr="00DF646B">
        <w:rPr>
          <w:sz w:val="24"/>
          <w:szCs w:val="24"/>
        </w:rPr>
        <w:t xml:space="preserve"> Government in developing and maintaining the policies that secure </w:t>
      </w:r>
      <w:r w:rsidR="003412C1" w:rsidRPr="00DF646B">
        <w:rPr>
          <w:sz w:val="24"/>
          <w:szCs w:val="24"/>
        </w:rPr>
        <w:t xml:space="preserve">Australia’s interest in a stable climate, its interests in return to rising living standards and the ethical interests of most of its citizens. </w:t>
      </w:r>
    </w:p>
    <w:p w14:paraId="09BD10DE" w14:textId="18004052" w:rsidR="0057397C" w:rsidRPr="00DF646B" w:rsidRDefault="0057397C" w:rsidP="002A11E0">
      <w:pPr>
        <w:pStyle w:val="Heading2"/>
        <w:rPr>
          <w:rFonts w:eastAsia="Times New Roman"/>
          <w:sz w:val="24"/>
          <w:szCs w:val="24"/>
          <w:lang w:eastAsia="en-GB"/>
        </w:rPr>
      </w:pPr>
      <w:r w:rsidRPr="00DF646B">
        <w:rPr>
          <w:rFonts w:eastAsia="Times New Roman"/>
          <w:sz w:val="24"/>
          <w:szCs w:val="24"/>
          <w:lang w:eastAsia="en-GB"/>
        </w:rPr>
        <w:t xml:space="preserve"> </w:t>
      </w:r>
    </w:p>
    <w:p w14:paraId="03A01558" w14:textId="13DA0C50" w:rsidR="0057397C" w:rsidRPr="00DF646B" w:rsidRDefault="0057397C" w:rsidP="002A11E0">
      <w:pPr>
        <w:pStyle w:val="Heading2"/>
        <w:rPr>
          <w:sz w:val="24"/>
          <w:szCs w:val="24"/>
        </w:rPr>
      </w:pPr>
    </w:p>
    <w:p w14:paraId="398A6002" w14:textId="77777777" w:rsidR="00F95421" w:rsidRPr="00DF646B" w:rsidRDefault="00F95421">
      <w:pPr>
        <w:jc w:val="both"/>
      </w:pPr>
    </w:p>
    <w:sectPr w:rsidR="00F95421" w:rsidRPr="00DF646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2EFD" w14:textId="77777777" w:rsidR="00EF05F7" w:rsidRDefault="00EF05F7" w:rsidP="0099709B">
      <w:r>
        <w:separator/>
      </w:r>
    </w:p>
  </w:endnote>
  <w:endnote w:type="continuationSeparator" w:id="0">
    <w:p w14:paraId="5EC65250" w14:textId="77777777" w:rsidR="00EF05F7" w:rsidRDefault="00EF05F7" w:rsidP="0099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181414"/>
      <w:docPartObj>
        <w:docPartGallery w:val="Page Numbers (Bottom of Page)"/>
        <w:docPartUnique/>
      </w:docPartObj>
    </w:sdtPr>
    <w:sdtContent>
      <w:p w14:paraId="0C737D7D" w14:textId="6E036434" w:rsidR="0099709B" w:rsidRDefault="0099709B" w:rsidP="00C24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2C104" w14:textId="77777777" w:rsidR="0099709B" w:rsidRDefault="0099709B" w:rsidP="00997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60868"/>
      <w:docPartObj>
        <w:docPartGallery w:val="Page Numbers (Bottom of Page)"/>
        <w:docPartUnique/>
      </w:docPartObj>
    </w:sdtPr>
    <w:sdtContent>
      <w:p w14:paraId="2BB63AAF" w14:textId="200D7C3B" w:rsidR="0099709B" w:rsidRDefault="0099709B" w:rsidP="00C24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939DBE9" w14:textId="77777777" w:rsidR="0099709B" w:rsidRDefault="0099709B" w:rsidP="009970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A50A" w14:textId="77777777" w:rsidR="00EF05F7" w:rsidRDefault="00EF05F7" w:rsidP="0099709B">
      <w:r>
        <w:separator/>
      </w:r>
    </w:p>
  </w:footnote>
  <w:footnote w:type="continuationSeparator" w:id="0">
    <w:p w14:paraId="0AA419F9" w14:textId="77777777" w:rsidR="00EF05F7" w:rsidRDefault="00EF05F7" w:rsidP="00997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06A49"/>
    <w:multiLevelType w:val="multilevel"/>
    <w:tmpl w:val="A66A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20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B1"/>
    <w:rsid w:val="00006BC3"/>
    <w:rsid w:val="000169FA"/>
    <w:rsid w:val="00041093"/>
    <w:rsid w:val="00041DFC"/>
    <w:rsid w:val="00050BD1"/>
    <w:rsid w:val="00060785"/>
    <w:rsid w:val="000760AE"/>
    <w:rsid w:val="00086230"/>
    <w:rsid w:val="000B6529"/>
    <w:rsid w:val="000E4A2F"/>
    <w:rsid w:val="000F7BD6"/>
    <w:rsid w:val="001014D6"/>
    <w:rsid w:val="00110120"/>
    <w:rsid w:val="0011284A"/>
    <w:rsid w:val="00123361"/>
    <w:rsid w:val="001334A6"/>
    <w:rsid w:val="00136CE4"/>
    <w:rsid w:val="0017453F"/>
    <w:rsid w:val="00200481"/>
    <w:rsid w:val="0023425E"/>
    <w:rsid w:val="002662F6"/>
    <w:rsid w:val="00293160"/>
    <w:rsid w:val="00297BEF"/>
    <w:rsid w:val="002A03C0"/>
    <w:rsid w:val="002A11E0"/>
    <w:rsid w:val="002A155A"/>
    <w:rsid w:val="002A3CF1"/>
    <w:rsid w:val="002A6FAA"/>
    <w:rsid w:val="002B287F"/>
    <w:rsid w:val="002C5586"/>
    <w:rsid w:val="002C6395"/>
    <w:rsid w:val="002E4EF9"/>
    <w:rsid w:val="002F032D"/>
    <w:rsid w:val="0030078F"/>
    <w:rsid w:val="0033183B"/>
    <w:rsid w:val="003339BE"/>
    <w:rsid w:val="003412C1"/>
    <w:rsid w:val="00364CB4"/>
    <w:rsid w:val="00366DE8"/>
    <w:rsid w:val="0039297D"/>
    <w:rsid w:val="00397F7E"/>
    <w:rsid w:val="003A3081"/>
    <w:rsid w:val="003B0C41"/>
    <w:rsid w:val="003C3D1A"/>
    <w:rsid w:val="003F6E95"/>
    <w:rsid w:val="0044270B"/>
    <w:rsid w:val="00483CBC"/>
    <w:rsid w:val="004B55D5"/>
    <w:rsid w:val="004C33A6"/>
    <w:rsid w:val="004D6D07"/>
    <w:rsid w:val="00533A11"/>
    <w:rsid w:val="00537948"/>
    <w:rsid w:val="00561888"/>
    <w:rsid w:val="00563495"/>
    <w:rsid w:val="00567DA9"/>
    <w:rsid w:val="0057397C"/>
    <w:rsid w:val="00590359"/>
    <w:rsid w:val="00591FB4"/>
    <w:rsid w:val="00594300"/>
    <w:rsid w:val="00611AF7"/>
    <w:rsid w:val="00624694"/>
    <w:rsid w:val="00635B0A"/>
    <w:rsid w:val="0065522F"/>
    <w:rsid w:val="006B1FAA"/>
    <w:rsid w:val="006B47DB"/>
    <w:rsid w:val="006D2311"/>
    <w:rsid w:val="007079B0"/>
    <w:rsid w:val="00732597"/>
    <w:rsid w:val="007532C5"/>
    <w:rsid w:val="00753997"/>
    <w:rsid w:val="007B24AA"/>
    <w:rsid w:val="007F43DB"/>
    <w:rsid w:val="00811F58"/>
    <w:rsid w:val="00820452"/>
    <w:rsid w:val="0084466E"/>
    <w:rsid w:val="00900AD6"/>
    <w:rsid w:val="00903FA9"/>
    <w:rsid w:val="00905DD7"/>
    <w:rsid w:val="00906CF9"/>
    <w:rsid w:val="00957BAC"/>
    <w:rsid w:val="00973219"/>
    <w:rsid w:val="00976749"/>
    <w:rsid w:val="0099235D"/>
    <w:rsid w:val="0099709B"/>
    <w:rsid w:val="009A3585"/>
    <w:rsid w:val="009A412D"/>
    <w:rsid w:val="009B4D56"/>
    <w:rsid w:val="009C16B0"/>
    <w:rsid w:val="009E5D08"/>
    <w:rsid w:val="009F1E97"/>
    <w:rsid w:val="00A258E2"/>
    <w:rsid w:val="00A44CA1"/>
    <w:rsid w:val="00A5275E"/>
    <w:rsid w:val="00A90F75"/>
    <w:rsid w:val="00AA1195"/>
    <w:rsid w:val="00AA36FF"/>
    <w:rsid w:val="00AB2B6D"/>
    <w:rsid w:val="00AB3BD9"/>
    <w:rsid w:val="00AC6988"/>
    <w:rsid w:val="00AD421B"/>
    <w:rsid w:val="00B15E99"/>
    <w:rsid w:val="00B300E5"/>
    <w:rsid w:val="00B32704"/>
    <w:rsid w:val="00B71412"/>
    <w:rsid w:val="00B82095"/>
    <w:rsid w:val="00B94E4C"/>
    <w:rsid w:val="00BD2520"/>
    <w:rsid w:val="00C0039F"/>
    <w:rsid w:val="00C05B19"/>
    <w:rsid w:val="00C0792C"/>
    <w:rsid w:val="00C312EA"/>
    <w:rsid w:val="00C40B25"/>
    <w:rsid w:val="00C40FEF"/>
    <w:rsid w:val="00C47A33"/>
    <w:rsid w:val="00C50714"/>
    <w:rsid w:val="00C629F9"/>
    <w:rsid w:val="00C649A2"/>
    <w:rsid w:val="00C72A75"/>
    <w:rsid w:val="00CB24D4"/>
    <w:rsid w:val="00CC1EDB"/>
    <w:rsid w:val="00CD5EBE"/>
    <w:rsid w:val="00D31DCC"/>
    <w:rsid w:val="00D54F20"/>
    <w:rsid w:val="00D771AE"/>
    <w:rsid w:val="00DA2C51"/>
    <w:rsid w:val="00DA318F"/>
    <w:rsid w:val="00DC209C"/>
    <w:rsid w:val="00DC5CB1"/>
    <w:rsid w:val="00DF646B"/>
    <w:rsid w:val="00E506FD"/>
    <w:rsid w:val="00E6038A"/>
    <w:rsid w:val="00E81170"/>
    <w:rsid w:val="00EE0066"/>
    <w:rsid w:val="00EF05F7"/>
    <w:rsid w:val="00F110FE"/>
    <w:rsid w:val="00F31487"/>
    <w:rsid w:val="00F37040"/>
    <w:rsid w:val="00F728E1"/>
    <w:rsid w:val="00F72E24"/>
    <w:rsid w:val="00F77843"/>
    <w:rsid w:val="00F95421"/>
    <w:rsid w:val="00FB3AF5"/>
    <w:rsid w:val="00FE1BEE"/>
    <w:rsid w:val="00FF2BCD"/>
    <w:rsid w:val="00FF3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1335"/>
  <w15:chartTrackingRefBased/>
  <w15:docId w15:val="{4D07626E-B244-FA42-9EE0-A0133C75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5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5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B1"/>
    <w:rPr>
      <w:rFonts w:eastAsiaTheme="majorEastAsia" w:cstheme="majorBidi"/>
      <w:color w:val="272727" w:themeColor="text1" w:themeTint="D8"/>
    </w:rPr>
  </w:style>
  <w:style w:type="paragraph" w:styleId="Title">
    <w:name w:val="Title"/>
    <w:basedOn w:val="Normal"/>
    <w:next w:val="Normal"/>
    <w:link w:val="TitleChar"/>
    <w:uiPriority w:val="10"/>
    <w:qFormat/>
    <w:rsid w:val="00DC5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5CB1"/>
    <w:rPr>
      <w:i/>
      <w:iCs/>
      <w:color w:val="404040" w:themeColor="text1" w:themeTint="BF"/>
    </w:rPr>
  </w:style>
  <w:style w:type="paragraph" w:styleId="ListParagraph">
    <w:name w:val="List Paragraph"/>
    <w:basedOn w:val="Normal"/>
    <w:uiPriority w:val="34"/>
    <w:qFormat/>
    <w:rsid w:val="00DC5CB1"/>
    <w:pPr>
      <w:ind w:left="720"/>
      <w:contextualSpacing/>
    </w:pPr>
  </w:style>
  <w:style w:type="character" w:styleId="IntenseEmphasis">
    <w:name w:val="Intense Emphasis"/>
    <w:basedOn w:val="DefaultParagraphFont"/>
    <w:uiPriority w:val="21"/>
    <w:qFormat/>
    <w:rsid w:val="00DC5CB1"/>
    <w:rPr>
      <w:i/>
      <w:iCs/>
      <w:color w:val="0F4761" w:themeColor="accent1" w:themeShade="BF"/>
    </w:rPr>
  </w:style>
  <w:style w:type="paragraph" w:styleId="IntenseQuote">
    <w:name w:val="Intense Quote"/>
    <w:basedOn w:val="Normal"/>
    <w:next w:val="Normal"/>
    <w:link w:val="IntenseQuoteChar"/>
    <w:uiPriority w:val="30"/>
    <w:qFormat/>
    <w:rsid w:val="00DC5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B1"/>
    <w:rPr>
      <w:i/>
      <w:iCs/>
      <w:color w:val="0F4761" w:themeColor="accent1" w:themeShade="BF"/>
    </w:rPr>
  </w:style>
  <w:style w:type="character" w:styleId="IntenseReference">
    <w:name w:val="Intense Reference"/>
    <w:basedOn w:val="DefaultParagraphFont"/>
    <w:uiPriority w:val="32"/>
    <w:qFormat/>
    <w:rsid w:val="00DC5CB1"/>
    <w:rPr>
      <w:b/>
      <w:bCs/>
      <w:smallCaps/>
      <w:color w:val="0F4761" w:themeColor="accent1" w:themeShade="BF"/>
      <w:spacing w:val="5"/>
    </w:rPr>
  </w:style>
  <w:style w:type="paragraph" w:styleId="Footer">
    <w:name w:val="footer"/>
    <w:basedOn w:val="Normal"/>
    <w:link w:val="FooterChar"/>
    <w:uiPriority w:val="99"/>
    <w:unhideWhenUsed/>
    <w:rsid w:val="0099709B"/>
    <w:pPr>
      <w:tabs>
        <w:tab w:val="center" w:pos="4513"/>
        <w:tab w:val="right" w:pos="9026"/>
      </w:tabs>
    </w:pPr>
  </w:style>
  <w:style w:type="character" w:customStyle="1" w:styleId="FooterChar">
    <w:name w:val="Footer Char"/>
    <w:basedOn w:val="DefaultParagraphFont"/>
    <w:link w:val="Footer"/>
    <w:uiPriority w:val="99"/>
    <w:rsid w:val="0099709B"/>
  </w:style>
  <w:style w:type="character" w:styleId="PageNumber">
    <w:name w:val="page number"/>
    <w:basedOn w:val="DefaultParagraphFont"/>
    <w:uiPriority w:val="99"/>
    <w:semiHidden/>
    <w:unhideWhenUsed/>
    <w:rsid w:val="0099709B"/>
  </w:style>
  <w:style w:type="paragraph" w:styleId="Revision">
    <w:name w:val="Revision"/>
    <w:hidden/>
    <w:uiPriority w:val="99"/>
    <w:semiHidden/>
    <w:rsid w:val="00297BEF"/>
  </w:style>
  <w:style w:type="paragraph" w:styleId="NoSpacing">
    <w:name w:val="No Spacing"/>
    <w:link w:val="NoSpacingChar"/>
    <w:uiPriority w:val="1"/>
    <w:qFormat/>
    <w:rsid w:val="007B24AA"/>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7B24AA"/>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9074">
      <w:bodyDiv w:val="1"/>
      <w:marLeft w:val="0"/>
      <w:marRight w:val="0"/>
      <w:marTop w:val="0"/>
      <w:marBottom w:val="0"/>
      <w:divBdr>
        <w:top w:val="none" w:sz="0" w:space="0" w:color="auto"/>
        <w:left w:val="none" w:sz="0" w:space="0" w:color="auto"/>
        <w:bottom w:val="none" w:sz="0" w:space="0" w:color="auto"/>
        <w:right w:val="none" w:sz="0" w:space="0" w:color="auto"/>
      </w:divBdr>
    </w:div>
    <w:div w:id="605619437">
      <w:bodyDiv w:val="1"/>
      <w:marLeft w:val="0"/>
      <w:marRight w:val="0"/>
      <w:marTop w:val="0"/>
      <w:marBottom w:val="0"/>
      <w:divBdr>
        <w:top w:val="none" w:sz="0" w:space="0" w:color="auto"/>
        <w:left w:val="none" w:sz="0" w:space="0" w:color="auto"/>
        <w:bottom w:val="none" w:sz="0" w:space="0" w:color="auto"/>
        <w:right w:val="none" w:sz="0" w:space="0" w:color="auto"/>
      </w:divBdr>
      <w:divsChild>
        <w:div w:id="1650358491">
          <w:marLeft w:val="0"/>
          <w:marRight w:val="0"/>
          <w:marTop w:val="0"/>
          <w:marBottom w:val="0"/>
          <w:divBdr>
            <w:top w:val="none" w:sz="0" w:space="0" w:color="auto"/>
            <w:left w:val="none" w:sz="0" w:space="0" w:color="auto"/>
            <w:bottom w:val="none" w:sz="0" w:space="0" w:color="auto"/>
            <w:right w:val="none" w:sz="0" w:space="0" w:color="auto"/>
          </w:divBdr>
        </w:div>
        <w:div w:id="55979204">
          <w:marLeft w:val="0"/>
          <w:marRight w:val="0"/>
          <w:marTop w:val="0"/>
          <w:marBottom w:val="0"/>
          <w:divBdr>
            <w:top w:val="none" w:sz="0" w:space="0" w:color="auto"/>
            <w:left w:val="none" w:sz="0" w:space="0" w:color="auto"/>
            <w:bottom w:val="none" w:sz="0" w:space="0" w:color="auto"/>
            <w:right w:val="none" w:sz="0" w:space="0" w:color="auto"/>
          </w:divBdr>
        </w:div>
        <w:div w:id="1811171054">
          <w:marLeft w:val="0"/>
          <w:marRight w:val="0"/>
          <w:marTop w:val="0"/>
          <w:marBottom w:val="0"/>
          <w:divBdr>
            <w:top w:val="none" w:sz="0" w:space="0" w:color="auto"/>
            <w:left w:val="none" w:sz="0" w:space="0" w:color="auto"/>
            <w:bottom w:val="none" w:sz="0" w:space="0" w:color="auto"/>
            <w:right w:val="none" w:sz="0" w:space="0" w:color="auto"/>
          </w:divBdr>
        </w:div>
        <w:div w:id="849639529">
          <w:marLeft w:val="0"/>
          <w:marRight w:val="0"/>
          <w:marTop w:val="0"/>
          <w:marBottom w:val="0"/>
          <w:divBdr>
            <w:top w:val="none" w:sz="0" w:space="0" w:color="auto"/>
            <w:left w:val="none" w:sz="0" w:space="0" w:color="auto"/>
            <w:bottom w:val="none" w:sz="0" w:space="0" w:color="auto"/>
            <w:right w:val="none" w:sz="0" w:space="0" w:color="auto"/>
          </w:divBdr>
        </w:div>
        <w:div w:id="207785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9</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Garnaut</dc:creator>
  <cp:keywords/>
  <dc:description/>
  <cp:lastModifiedBy>Ross Garnaut</cp:lastModifiedBy>
  <cp:revision>12</cp:revision>
  <dcterms:created xsi:type="dcterms:W3CDTF">2025-04-30T05:34:00Z</dcterms:created>
  <dcterms:modified xsi:type="dcterms:W3CDTF">2025-05-06T11:31:00Z</dcterms:modified>
</cp:coreProperties>
</file>