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DD392" w14:textId="77777777" w:rsidR="005F296C" w:rsidRDefault="00000000">
      <w:pPr>
        <w:pStyle w:val="Heading1"/>
        <w:spacing w:before="0" w:after="0"/>
        <w:ind w:left="5670"/>
        <w:rPr>
          <w:b/>
          <w:color w:val="198A73"/>
        </w:rPr>
      </w:pPr>
      <w:bookmarkStart w:id="0" w:name="_fgtxlur7nodt" w:colFirst="0" w:colLast="0"/>
      <w:bookmarkEnd w:id="0"/>
      <w:r>
        <w:rPr>
          <w:b/>
          <w:color w:val="198A73"/>
        </w:rPr>
        <w:t>Progress Update</w:t>
      </w:r>
      <w:r>
        <w:rPr>
          <w:noProof/>
        </w:rPr>
        <w:drawing>
          <wp:anchor distT="114300" distB="114300" distL="114300" distR="114300" simplePos="0" relativeHeight="251658240" behindDoc="1" locked="0" layoutInCell="1" hidden="0" allowOverlap="1" wp14:anchorId="4E78E892" wp14:editId="0F7F0701">
            <wp:simplePos x="0" y="0"/>
            <wp:positionH relativeFrom="column">
              <wp:posOffset>1</wp:posOffset>
            </wp:positionH>
            <wp:positionV relativeFrom="paragraph">
              <wp:posOffset>1</wp:posOffset>
            </wp:positionV>
            <wp:extent cx="2700338" cy="64912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700338" cy="649120"/>
                    </a:xfrm>
                    <a:prstGeom prst="rect">
                      <a:avLst/>
                    </a:prstGeom>
                    <a:ln/>
                  </pic:spPr>
                </pic:pic>
              </a:graphicData>
            </a:graphic>
          </wp:anchor>
        </w:drawing>
      </w:r>
    </w:p>
    <w:p w14:paraId="56FA4B79" w14:textId="379A203D" w:rsidR="005F296C" w:rsidRDefault="00985F36" w:rsidP="00985F36">
      <w:pPr>
        <w:tabs>
          <w:tab w:val="left" w:pos="3150"/>
        </w:tabs>
      </w:pPr>
      <w:r>
        <w:tab/>
      </w:r>
    </w:p>
    <w:p w14:paraId="5B2E4D14" w14:textId="1A728D0E" w:rsidR="005F296C" w:rsidRDefault="00985F36" w:rsidP="00985F36">
      <w:pPr>
        <w:tabs>
          <w:tab w:val="left" w:pos="3090"/>
        </w:tabs>
      </w:pPr>
      <w:r>
        <w:tab/>
      </w:r>
    </w:p>
    <w:p w14:paraId="1A4FD63A" w14:textId="5D8CC40E" w:rsidR="005F296C" w:rsidRDefault="00000000">
      <w:pPr>
        <w:spacing w:before="240"/>
        <w:rPr>
          <w:sz w:val="23"/>
          <w:szCs w:val="23"/>
        </w:rPr>
      </w:pPr>
      <w:r>
        <w:rPr>
          <w:sz w:val="23"/>
          <w:szCs w:val="23"/>
        </w:rPr>
        <w:t xml:space="preserve">In </w:t>
      </w:r>
      <w:r w:rsidR="00666555">
        <w:rPr>
          <w:sz w:val="23"/>
          <w:szCs w:val="23"/>
        </w:rPr>
        <w:t>2022</w:t>
      </w:r>
      <w:r>
        <w:rPr>
          <w:sz w:val="23"/>
          <w:szCs w:val="23"/>
        </w:rPr>
        <w:t xml:space="preserve">, the Rise team set three strategic goals to strengthen our impact towards ending poverty through economic and social mobility. In this first phase of actioning our goals (Years 1 and 2), Rise focused on aligning our culture, staffing, services and data collection towards the stages of transformation and strengthening our foundations as an organization. </w:t>
      </w:r>
    </w:p>
    <w:p w14:paraId="03DA405F" w14:textId="77777777" w:rsidR="005F296C" w:rsidRDefault="005F296C">
      <w:pPr>
        <w:rPr>
          <w:sz w:val="12"/>
          <w:szCs w:val="12"/>
        </w:rPr>
      </w:pPr>
    </w:p>
    <w:tbl>
      <w:tblPr>
        <w:tblStyle w:val="a"/>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95"/>
        <w:gridCol w:w="7185"/>
      </w:tblGrid>
      <w:tr w:rsidR="005F296C" w14:paraId="7E75F908" w14:textId="77777777">
        <w:tc>
          <w:tcPr>
            <w:tcW w:w="2895" w:type="dxa"/>
            <w:shd w:val="clear" w:color="auto" w:fill="198A73"/>
            <w:tcMar>
              <w:top w:w="100" w:type="dxa"/>
              <w:left w:w="100" w:type="dxa"/>
              <w:bottom w:w="100" w:type="dxa"/>
              <w:right w:w="100" w:type="dxa"/>
            </w:tcMar>
          </w:tcPr>
          <w:p w14:paraId="66E4330F" w14:textId="77777777" w:rsidR="005F296C" w:rsidRDefault="00000000">
            <w:pPr>
              <w:widowControl w:val="0"/>
              <w:pBdr>
                <w:top w:val="nil"/>
                <w:left w:val="nil"/>
                <w:bottom w:val="nil"/>
                <w:right w:val="nil"/>
                <w:between w:val="nil"/>
              </w:pBdr>
              <w:rPr>
                <w:color w:val="FFFFFF"/>
              </w:rPr>
            </w:pPr>
            <w:r>
              <w:rPr>
                <w:color w:val="FFFFFF"/>
              </w:rPr>
              <w:t>Strategic Goal</w:t>
            </w:r>
          </w:p>
        </w:tc>
        <w:tc>
          <w:tcPr>
            <w:tcW w:w="7185" w:type="dxa"/>
            <w:shd w:val="clear" w:color="auto" w:fill="198A73"/>
            <w:tcMar>
              <w:top w:w="100" w:type="dxa"/>
              <w:left w:w="100" w:type="dxa"/>
              <w:bottom w:w="100" w:type="dxa"/>
              <w:right w:w="100" w:type="dxa"/>
            </w:tcMar>
          </w:tcPr>
          <w:p w14:paraId="5B87A947" w14:textId="77777777" w:rsidR="005F296C" w:rsidRDefault="00000000">
            <w:pPr>
              <w:widowControl w:val="0"/>
              <w:pBdr>
                <w:top w:val="nil"/>
                <w:left w:val="nil"/>
                <w:bottom w:val="nil"/>
                <w:right w:val="nil"/>
                <w:between w:val="nil"/>
              </w:pBdr>
              <w:rPr>
                <w:color w:val="FFFFFF"/>
              </w:rPr>
            </w:pPr>
            <w:r>
              <w:rPr>
                <w:color w:val="FFFFFF"/>
              </w:rPr>
              <w:t>Highlights of Achievements</w:t>
            </w:r>
          </w:p>
        </w:tc>
      </w:tr>
      <w:tr w:rsidR="005F296C" w14:paraId="6B810F9D" w14:textId="77777777">
        <w:tc>
          <w:tcPr>
            <w:tcW w:w="2895" w:type="dxa"/>
            <w:shd w:val="clear" w:color="auto" w:fill="auto"/>
            <w:tcMar>
              <w:top w:w="100" w:type="dxa"/>
              <w:left w:w="100" w:type="dxa"/>
              <w:bottom w:w="100" w:type="dxa"/>
              <w:right w:w="100" w:type="dxa"/>
            </w:tcMar>
          </w:tcPr>
          <w:p w14:paraId="0EDFABDC" w14:textId="77777777" w:rsidR="005F296C" w:rsidRDefault="00000000">
            <w:pPr>
              <w:rPr>
                <w:color w:val="F46516"/>
              </w:rPr>
            </w:pPr>
            <w:r>
              <w:rPr>
                <w:color w:val="F46516"/>
              </w:rPr>
              <w:t>Targeted Service Delivery and Impact</w:t>
            </w:r>
          </w:p>
          <w:p w14:paraId="35D0C574" w14:textId="77777777" w:rsidR="005F296C" w:rsidRDefault="00000000">
            <w:r>
              <w:rPr>
                <w:sz w:val="22"/>
                <w:szCs w:val="22"/>
              </w:rPr>
              <w:t>We will strengthen alignment of our service model to the stages of transformation, build our organizational data, and strengthen our impact.</w:t>
            </w:r>
          </w:p>
        </w:tc>
        <w:tc>
          <w:tcPr>
            <w:tcW w:w="7185" w:type="dxa"/>
            <w:shd w:val="clear" w:color="auto" w:fill="auto"/>
            <w:tcMar>
              <w:top w:w="100" w:type="dxa"/>
              <w:left w:w="100" w:type="dxa"/>
              <w:bottom w:w="100" w:type="dxa"/>
              <w:right w:w="100" w:type="dxa"/>
            </w:tcMar>
          </w:tcPr>
          <w:p w14:paraId="2533C544" w14:textId="77777777" w:rsidR="005F296C" w:rsidRDefault="00000000">
            <w:pPr>
              <w:numPr>
                <w:ilvl w:val="0"/>
                <w:numId w:val="1"/>
              </w:numPr>
              <w:pBdr>
                <w:top w:val="nil"/>
                <w:left w:val="nil"/>
                <w:bottom w:val="nil"/>
                <w:right w:val="nil"/>
                <w:between w:val="nil"/>
              </w:pBdr>
              <w:spacing w:before="40"/>
              <w:ind w:left="360" w:hanging="270"/>
              <w:rPr>
                <w:sz w:val="22"/>
                <w:szCs w:val="22"/>
              </w:rPr>
            </w:pPr>
            <w:r>
              <w:rPr>
                <w:sz w:val="22"/>
                <w:szCs w:val="22"/>
              </w:rPr>
              <w:t xml:space="preserve">Our </w:t>
            </w:r>
            <w:r>
              <w:rPr>
                <w:i/>
                <w:sz w:val="22"/>
                <w:szCs w:val="22"/>
              </w:rPr>
              <w:t>Theory of Change</w:t>
            </w:r>
            <w:r>
              <w:rPr>
                <w:sz w:val="22"/>
                <w:szCs w:val="22"/>
              </w:rPr>
              <w:t xml:space="preserve"> describes our service model, including who Rise serves, how services align with the stages of </w:t>
            </w:r>
            <w:r>
              <w:rPr>
                <w:i/>
                <w:sz w:val="22"/>
                <w:szCs w:val="22"/>
              </w:rPr>
              <w:t>stabilization, mobility and empowerment</w:t>
            </w:r>
            <w:r>
              <w:rPr>
                <w:sz w:val="22"/>
                <w:szCs w:val="22"/>
              </w:rPr>
              <w:t>, and our expected outcomes and impact.</w:t>
            </w:r>
          </w:p>
          <w:p w14:paraId="4E23782D" w14:textId="77777777" w:rsidR="005F296C" w:rsidRDefault="00000000">
            <w:pPr>
              <w:numPr>
                <w:ilvl w:val="0"/>
                <w:numId w:val="1"/>
              </w:numPr>
              <w:pBdr>
                <w:top w:val="nil"/>
                <w:left w:val="nil"/>
                <w:bottom w:val="nil"/>
                <w:right w:val="nil"/>
                <w:between w:val="nil"/>
              </w:pBdr>
              <w:spacing w:before="40"/>
              <w:ind w:left="360" w:hanging="270"/>
              <w:rPr>
                <w:sz w:val="22"/>
                <w:szCs w:val="22"/>
              </w:rPr>
            </w:pPr>
            <w:r>
              <w:rPr>
                <w:sz w:val="22"/>
                <w:szCs w:val="22"/>
              </w:rPr>
              <w:t>Key messages are helping people understand the stages of transformation.</w:t>
            </w:r>
          </w:p>
          <w:p w14:paraId="41C63236" w14:textId="77777777" w:rsidR="005F296C" w:rsidRDefault="00000000">
            <w:pPr>
              <w:numPr>
                <w:ilvl w:val="0"/>
                <w:numId w:val="1"/>
              </w:numPr>
              <w:pBdr>
                <w:top w:val="nil"/>
                <w:left w:val="nil"/>
                <w:bottom w:val="nil"/>
                <w:right w:val="nil"/>
                <w:between w:val="nil"/>
              </w:pBdr>
              <w:spacing w:before="40"/>
              <w:ind w:left="360" w:hanging="270"/>
              <w:rPr>
                <w:sz w:val="22"/>
                <w:szCs w:val="22"/>
              </w:rPr>
            </w:pPr>
            <w:r>
              <w:rPr>
                <w:sz w:val="22"/>
                <w:szCs w:val="22"/>
              </w:rPr>
              <w:t xml:space="preserve">Our data collection and management system is reconfigured to capture client progress through the stages of transformation. </w:t>
            </w:r>
          </w:p>
        </w:tc>
      </w:tr>
      <w:tr w:rsidR="005F296C" w14:paraId="059501B2" w14:textId="77777777">
        <w:tc>
          <w:tcPr>
            <w:tcW w:w="2895" w:type="dxa"/>
            <w:shd w:val="clear" w:color="auto" w:fill="auto"/>
            <w:tcMar>
              <w:top w:w="100" w:type="dxa"/>
              <w:left w:w="100" w:type="dxa"/>
              <w:bottom w:w="100" w:type="dxa"/>
              <w:right w:w="100" w:type="dxa"/>
            </w:tcMar>
          </w:tcPr>
          <w:p w14:paraId="5140FD9C" w14:textId="77777777" w:rsidR="005F296C" w:rsidRDefault="00000000">
            <w:pPr>
              <w:rPr>
                <w:color w:val="F46516"/>
              </w:rPr>
            </w:pPr>
            <w:r>
              <w:rPr>
                <w:color w:val="F46516"/>
              </w:rPr>
              <w:t>Strengthen Foundations (Leadership, Workforce, and Culture), Operations, and Governance</w:t>
            </w:r>
          </w:p>
          <w:p w14:paraId="454E2203" w14:textId="77777777" w:rsidR="005F296C" w:rsidRDefault="00000000">
            <w:r>
              <w:rPr>
                <w:sz w:val="22"/>
                <w:szCs w:val="22"/>
              </w:rPr>
              <w:t>We will plan and act to build our team, expand our capacities, strengthen our operations and governance, and ensure Rise’s sustainability.</w:t>
            </w:r>
          </w:p>
        </w:tc>
        <w:tc>
          <w:tcPr>
            <w:tcW w:w="7185" w:type="dxa"/>
            <w:shd w:val="clear" w:color="auto" w:fill="auto"/>
            <w:tcMar>
              <w:top w:w="100" w:type="dxa"/>
              <w:left w:w="100" w:type="dxa"/>
              <w:bottom w:w="100" w:type="dxa"/>
              <w:right w:w="100" w:type="dxa"/>
            </w:tcMar>
          </w:tcPr>
          <w:p w14:paraId="617BACD9" w14:textId="77777777" w:rsidR="005F296C" w:rsidRDefault="00000000">
            <w:pPr>
              <w:numPr>
                <w:ilvl w:val="0"/>
                <w:numId w:val="1"/>
              </w:numPr>
              <w:pBdr>
                <w:top w:val="nil"/>
                <w:left w:val="nil"/>
                <w:bottom w:val="nil"/>
                <w:right w:val="nil"/>
                <w:between w:val="nil"/>
              </w:pBdr>
              <w:spacing w:before="40"/>
              <w:ind w:left="360" w:hanging="270"/>
              <w:rPr>
                <w:sz w:val="22"/>
                <w:szCs w:val="22"/>
              </w:rPr>
            </w:pPr>
            <w:r>
              <w:rPr>
                <w:sz w:val="22"/>
                <w:szCs w:val="22"/>
              </w:rPr>
              <w:t xml:space="preserve">Our roles and job descriptions are more clearly defined, including how they contribute to stabilization and empowerment work. This enables staff to take leadership in different areas of work.  </w:t>
            </w:r>
          </w:p>
          <w:p w14:paraId="60A2DFEA" w14:textId="77777777" w:rsidR="005F296C" w:rsidRDefault="00000000">
            <w:pPr>
              <w:numPr>
                <w:ilvl w:val="0"/>
                <w:numId w:val="1"/>
              </w:numPr>
              <w:pBdr>
                <w:top w:val="nil"/>
                <w:left w:val="nil"/>
                <w:bottom w:val="nil"/>
                <w:right w:val="nil"/>
                <w:between w:val="nil"/>
              </w:pBdr>
              <w:spacing w:before="40"/>
              <w:ind w:left="360" w:hanging="270"/>
              <w:rPr>
                <w:sz w:val="22"/>
                <w:szCs w:val="22"/>
              </w:rPr>
            </w:pPr>
            <w:r>
              <w:rPr>
                <w:sz w:val="22"/>
                <w:szCs w:val="22"/>
              </w:rPr>
              <w:t>A new performance management matrix, revised tools (questionnaire, reflective practice), and regular performance management meetings offer opportunities for professional growth.</w:t>
            </w:r>
          </w:p>
          <w:p w14:paraId="6375011A" w14:textId="77777777" w:rsidR="005F296C" w:rsidRDefault="00000000">
            <w:pPr>
              <w:numPr>
                <w:ilvl w:val="0"/>
                <w:numId w:val="1"/>
              </w:numPr>
              <w:pBdr>
                <w:top w:val="nil"/>
                <w:left w:val="nil"/>
                <w:bottom w:val="nil"/>
                <w:right w:val="nil"/>
                <w:between w:val="nil"/>
              </w:pBdr>
              <w:spacing w:before="40"/>
              <w:ind w:left="360" w:hanging="270"/>
              <w:rPr>
                <w:sz w:val="22"/>
                <w:szCs w:val="22"/>
              </w:rPr>
            </w:pPr>
            <w:r>
              <w:rPr>
                <w:sz w:val="22"/>
                <w:szCs w:val="22"/>
              </w:rPr>
              <w:t xml:space="preserve">A </w:t>
            </w:r>
            <w:r>
              <w:rPr>
                <w:i/>
                <w:sz w:val="22"/>
                <w:szCs w:val="22"/>
              </w:rPr>
              <w:t>Welcome, Culture, Strategy</w:t>
            </w:r>
            <w:r>
              <w:rPr>
                <w:sz w:val="22"/>
                <w:szCs w:val="22"/>
              </w:rPr>
              <w:t xml:space="preserve"> onboarding package is ready for launch. It will foster Rise culture among volunteers, staff, and board members and strengthen Rise as a learning institution. </w:t>
            </w:r>
          </w:p>
          <w:p w14:paraId="1AB82E45" w14:textId="77777777" w:rsidR="005F296C" w:rsidRDefault="00000000">
            <w:pPr>
              <w:numPr>
                <w:ilvl w:val="0"/>
                <w:numId w:val="1"/>
              </w:numPr>
              <w:pBdr>
                <w:top w:val="nil"/>
                <w:left w:val="nil"/>
                <w:bottom w:val="nil"/>
                <w:right w:val="nil"/>
                <w:between w:val="nil"/>
              </w:pBdr>
              <w:spacing w:before="40"/>
              <w:ind w:left="360" w:hanging="270"/>
              <w:rPr>
                <w:sz w:val="22"/>
                <w:szCs w:val="22"/>
              </w:rPr>
            </w:pPr>
            <w:r>
              <w:rPr>
                <w:sz w:val="22"/>
                <w:szCs w:val="22"/>
              </w:rPr>
              <w:t>An improved volunteer strategy is in development to boost volunteer recruitment and fund development.</w:t>
            </w:r>
          </w:p>
          <w:p w14:paraId="26D3CF28" w14:textId="77777777" w:rsidR="005F296C" w:rsidRDefault="00000000">
            <w:pPr>
              <w:numPr>
                <w:ilvl w:val="0"/>
                <w:numId w:val="1"/>
              </w:numPr>
              <w:pBdr>
                <w:top w:val="nil"/>
                <w:left w:val="nil"/>
                <w:bottom w:val="nil"/>
                <w:right w:val="nil"/>
                <w:between w:val="nil"/>
              </w:pBdr>
              <w:spacing w:before="40"/>
              <w:ind w:left="360" w:hanging="270"/>
              <w:rPr>
                <w:sz w:val="22"/>
                <w:szCs w:val="22"/>
              </w:rPr>
            </w:pPr>
            <w:r>
              <w:rPr>
                <w:sz w:val="22"/>
                <w:szCs w:val="22"/>
              </w:rPr>
              <w:t>Our financial management system is strengthened.</w:t>
            </w:r>
          </w:p>
          <w:p w14:paraId="26BEECF4" w14:textId="77777777" w:rsidR="005F296C" w:rsidRDefault="00000000">
            <w:pPr>
              <w:numPr>
                <w:ilvl w:val="0"/>
                <w:numId w:val="1"/>
              </w:numPr>
              <w:pBdr>
                <w:top w:val="nil"/>
                <w:left w:val="nil"/>
                <w:bottom w:val="nil"/>
                <w:right w:val="nil"/>
                <w:between w:val="nil"/>
              </w:pBdr>
              <w:spacing w:before="40"/>
              <w:ind w:left="360" w:hanging="270"/>
              <w:rPr>
                <w:sz w:val="22"/>
                <w:szCs w:val="22"/>
              </w:rPr>
            </w:pPr>
            <w:r>
              <w:rPr>
                <w:sz w:val="22"/>
                <w:szCs w:val="22"/>
              </w:rPr>
              <w:t>An annual governance calendar supports Board planning and work.</w:t>
            </w:r>
          </w:p>
        </w:tc>
      </w:tr>
      <w:tr w:rsidR="005F296C" w14:paraId="172D75B0" w14:textId="77777777">
        <w:tc>
          <w:tcPr>
            <w:tcW w:w="2895" w:type="dxa"/>
            <w:shd w:val="clear" w:color="auto" w:fill="auto"/>
            <w:tcMar>
              <w:top w:w="100" w:type="dxa"/>
              <w:left w:w="100" w:type="dxa"/>
              <w:bottom w:w="100" w:type="dxa"/>
              <w:right w:w="100" w:type="dxa"/>
            </w:tcMar>
          </w:tcPr>
          <w:p w14:paraId="406EADDB" w14:textId="77777777" w:rsidR="005F296C" w:rsidRDefault="00000000">
            <w:pPr>
              <w:rPr>
                <w:color w:val="F46516"/>
              </w:rPr>
            </w:pPr>
            <w:r>
              <w:rPr>
                <w:color w:val="F46516"/>
              </w:rPr>
              <w:t xml:space="preserve">Data Informed Decision Making </w:t>
            </w:r>
          </w:p>
          <w:p w14:paraId="71107A21" w14:textId="77777777" w:rsidR="005F296C" w:rsidRDefault="00000000">
            <w:r>
              <w:rPr>
                <w:sz w:val="22"/>
                <w:szCs w:val="22"/>
              </w:rPr>
              <w:t>We will use our strengthened service model, data, and foundational capacities to improve outcomes for the people we serve.</w:t>
            </w:r>
          </w:p>
        </w:tc>
        <w:tc>
          <w:tcPr>
            <w:tcW w:w="7185" w:type="dxa"/>
            <w:shd w:val="clear" w:color="auto" w:fill="auto"/>
            <w:tcMar>
              <w:top w:w="100" w:type="dxa"/>
              <w:left w:w="100" w:type="dxa"/>
              <w:bottom w:w="100" w:type="dxa"/>
              <w:right w:w="100" w:type="dxa"/>
            </w:tcMar>
          </w:tcPr>
          <w:p w14:paraId="202A4072" w14:textId="77777777" w:rsidR="005F296C" w:rsidRDefault="00000000">
            <w:pPr>
              <w:numPr>
                <w:ilvl w:val="0"/>
                <w:numId w:val="1"/>
              </w:numPr>
              <w:pBdr>
                <w:top w:val="nil"/>
                <w:left w:val="nil"/>
                <w:bottom w:val="nil"/>
                <w:right w:val="nil"/>
                <w:between w:val="nil"/>
              </w:pBdr>
              <w:spacing w:before="40"/>
              <w:ind w:left="360" w:hanging="270"/>
              <w:rPr>
                <w:sz w:val="22"/>
                <w:szCs w:val="22"/>
              </w:rPr>
            </w:pPr>
            <w:r>
              <w:rPr>
                <w:sz w:val="22"/>
                <w:szCs w:val="22"/>
              </w:rPr>
              <w:t>Our First Annual Impact Report based on our strengthened data management system communicates our impact for 2024.</w:t>
            </w:r>
          </w:p>
          <w:p w14:paraId="0FF72404" w14:textId="77777777" w:rsidR="005F296C" w:rsidRDefault="00000000">
            <w:pPr>
              <w:numPr>
                <w:ilvl w:val="0"/>
                <w:numId w:val="1"/>
              </w:numPr>
              <w:pBdr>
                <w:top w:val="nil"/>
                <w:left w:val="nil"/>
                <w:bottom w:val="nil"/>
                <w:right w:val="nil"/>
                <w:between w:val="nil"/>
              </w:pBdr>
              <w:spacing w:before="40"/>
              <w:ind w:left="360" w:hanging="270"/>
              <w:rPr>
                <w:sz w:val="22"/>
                <w:szCs w:val="22"/>
              </w:rPr>
            </w:pPr>
            <w:r>
              <w:rPr>
                <w:sz w:val="22"/>
                <w:szCs w:val="22"/>
              </w:rPr>
              <w:t xml:space="preserve">Work is ongoing to map data collection against our Theory of Change and to strengthen communication about the impact of our work. </w:t>
            </w:r>
          </w:p>
        </w:tc>
      </w:tr>
    </w:tbl>
    <w:p w14:paraId="4608984F" w14:textId="77777777" w:rsidR="005F296C" w:rsidRDefault="00000000">
      <w:pPr>
        <w:spacing w:before="240"/>
        <w:sectPr w:rsidR="005F296C">
          <w:headerReference w:type="default" r:id="rId8"/>
          <w:pgSz w:w="12240" w:h="15840"/>
          <w:pgMar w:top="1170" w:right="1080" w:bottom="1080" w:left="1080" w:header="720" w:footer="720" w:gutter="0"/>
          <w:pgNumType w:start="1"/>
          <w:cols w:space="720"/>
        </w:sectPr>
      </w:pPr>
      <w:r>
        <w:rPr>
          <w:sz w:val="23"/>
          <w:szCs w:val="23"/>
        </w:rPr>
        <w:t>These achievements pave the way for our next phase of actioning Rise’s strategic goals. Our next priorities are to more deeply involve staff in our Strategy and Culture plan, grow staff development opportunities, continue to improve our impact measurement tools and make greater use of them, and launch our volunteer and ambassador strategy. As Rise’s capacities and impact grow, so will our focus on influencing systems change towards ending poverty.</w:t>
      </w:r>
    </w:p>
    <w:p w14:paraId="52C7F174" w14:textId="77777777" w:rsidR="005F296C" w:rsidRDefault="00000000">
      <w:pPr>
        <w:pStyle w:val="Heading1"/>
        <w:spacing w:before="0"/>
        <w:jc w:val="center"/>
      </w:pPr>
      <w:bookmarkStart w:id="1" w:name="_xxb4x150zyf7" w:colFirst="0" w:colLast="0"/>
      <w:bookmarkEnd w:id="1"/>
      <w:r>
        <w:lastRenderedPageBreak/>
        <w:t>Rise Calgary 2024 Impacts</w:t>
      </w:r>
    </w:p>
    <w:p w14:paraId="5B86D86A" w14:textId="77777777" w:rsidR="005F296C" w:rsidRDefault="005F296C"/>
    <w:p w14:paraId="5F293C36" w14:textId="77777777" w:rsidR="005F296C" w:rsidRDefault="00000000">
      <w:pPr>
        <w:pStyle w:val="Heading2"/>
        <w:spacing w:before="0"/>
        <w:rPr>
          <w:sz w:val="24"/>
          <w:szCs w:val="24"/>
        </w:rPr>
      </w:pPr>
      <w:bookmarkStart w:id="2" w:name="_n2wkcl6a04dz" w:colFirst="0" w:colLast="0"/>
      <w:bookmarkEnd w:id="2"/>
      <w:r>
        <w:t>In 2024, Rise Calgary is:</w:t>
      </w:r>
    </w:p>
    <w:tbl>
      <w:tblPr>
        <w:tblStyle w:val="a0"/>
        <w:tblW w:w="10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2850"/>
        <w:gridCol w:w="6540"/>
      </w:tblGrid>
      <w:tr w:rsidR="005F296C" w14:paraId="2CA0302E" w14:textId="77777777">
        <w:tc>
          <w:tcPr>
            <w:tcW w:w="630" w:type="dxa"/>
            <w:tcBorders>
              <w:top w:val="nil"/>
              <w:left w:val="nil"/>
              <w:bottom w:val="nil"/>
              <w:right w:val="nil"/>
            </w:tcBorders>
            <w:tcMar>
              <w:top w:w="72" w:type="dxa"/>
              <w:left w:w="72" w:type="dxa"/>
              <w:bottom w:w="72" w:type="dxa"/>
              <w:right w:w="72" w:type="dxa"/>
            </w:tcMar>
          </w:tcPr>
          <w:p w14:paraId="4BF7DE6D" w14:textId="77777777" w:rsidR="005F296C" w:rsidRDefault="00000000">
            <w:pPr>
              <w:jc w:val="center"/>
              <w:rPr>
                <w:b/>
                <w:sz w:val="40"/>
                <w:szCs w:val="40"/>
              </w:rPr>
            </w:pPr>
            <w:r>
              <w:rPr>
                <w:b/>
                <w:sz w:val="40"/>
                <w:szCs w:val="40"/>
              </w:rPr>
              <w:t>✓</w:t>
            </w:r>
          </w:p>
        </w:tc>
        <w:tc>
          <w:tcPr>
            <w:tcW w:w="2850" w:type="dxa"/>
            <w:tcBorders>
              <w:top w:val="nil"/>
              <w:left w:val="nil"/>
              <w:bottom w:val="nil"/>
              <w:right w:val="nil"/>
            </w:tcBorders>
            <w:tcMar>
              <w:top w:w="72" w:type="dxa"/>
              <w:left w:w="72" w:type="dxa"/>
              <w:bottom w:w="72" w:type="dxa"/>
              <w:right w:w="72" w:type="dxa"/>
            </w:tcMar>
            <w:vAlign w:val="center"/>
          </w:tcPr>
          <w:p w14:paraId="7F1CCA45" w14:textId="77777777" w:rsidR="005F296C" w:rsidRDefault="00000000">
            <w:pPr>
              <w:jc w:val="center"/>
              <w:rPr>
                <w:b/>
                <w:color w:val="07A0C3"/>
              </w:rPr>
            </w:pPr>
            <w:r>
              <w:rPr>
                <w:b/>
                <w:color w:val="07A0C3"/>
              </w:rPr>
              <w:t>MEETING GROWING DEMANDS</w:t>
            </w:r>
          </w:p>
        </w:tc>
        <w:tc>
          <w:tcPr>
            <w:tcW w:w="6540" w:type="dxa"/>
            <w:tcBorders>
              <w:top w:val="nil"/>
              <w:left w:val="nil"/>
              <w:bottom w:val="nil"/>
              <w:right w:val="nil"/>
            </w:tcBorders>
            <w:tcMar>
              <w:top w:w="72" w:type="dxa"/>
              <w:left w:w="72" w:type="dxa"/>
              <w:bottom w:w="72" w:type="dxa"/>
              <w:right w:w="72" w:type="dxa"/>
            </w:tcMar>
            <w:vAlign w:val="center"/>
          </w:tcPr>
          <w:p w14:paraId="0E88AEA2" w14:textId="77777777" w:rsidR="005F296C" w:rsidRDefault="00000000">
            <w:pPr>
              <w:jc w:val="both"/>
            </w:pPr>
            <w:r>
              <w:rPr>
                <w:b/>
                <w:color w:val="F46516"/>
              </w:rPr>
              <w:t>Over 20,000 Interactions</w:t>
            </w:r>
            <w:r>
              <w:t xml:space="preserve"> logged, about 84 interactions per day, a 41% increase over last period.</w:t>
            </w:r>
          </w:p>
        </w:tc>
      </w:tr>
      <w:tr w:rsidR="005F296C" w14:paraId="09CBE0B1" w14:textId="77777777">
        <w:tc>
          <w:tcPr>
            <w:tcW w:w="630" w:type="dxa"/>
            <w:tcBorders>
              <w:top w:val="nil"/>
              <w:left w:val="nil"/>
              <w:bottom w:val="nil"/>
              <w:right w:val="nil"/>
            </w:tcBorders>
            <w:tcMar>
              <w:top w:w="72" w:type="dxa"/>
              <w:left w:w="72" w:type="dxa"/>
              <w:bottom w:w="72" w:type="dxa"/>
              <w:right w:w="72" w:type="dxa"/>
            </w:tcMar>
          </w:tcPr>
          <w:p w14:paraId="18651873" w14:textId="77777777" w:rsidR="005F296C" w:rsidRDefault="00000000">
            <w:pPr>
              <w:jc w:val="center"/>
              <w:rPr>
                <w:b/>
                <w:sz w:val="40"/>
                <w:szCs w:val="40"/>
              </w:rPr>
            </w:pPr>
            <w:r>
              <w:rPr>
                <w:b/>
                <w:sz w:val="40"/>
                <w:szCs w:val="40"/>
              </w:rPr>
              <w:t>✓</w:t>
            </w:r>
          </w:p>
        </w:tc>
        <w:tc>
          <w:tcPr>
            <w:tcW w:w="2850" w:type="dxa"/>
            <w:tcBorders>
              <w:top w:val="nil"/>
              <w:left w:val="nil"/>
              <w:bottom w:val="nil"/>
              <w:right w:val="nil"/>
            </w:tcBorders>
            <w:tcMar>
              <w:top w:w="72" w:type="dxa"/>
              <w:left w:w="72" w:type="dxa"/>
              <w:bottom w:w="72" w:type="dxa"/>
              <w:right w:w="72" w:type="dxa"/>
            </w:tcMar>
            <w:vAlign w:val="center"/>
          </w:tcPr>
          <w:p w14:paraId="7967AF0B" w14:textId="77777777" w:rsidR="005F296C" w:rsidRDefault="00000000">
            <w:pPr>
              <w:jc w:val="center"/>
              <w:rPr>
                <w:b/>
                <w:color w:val="07A0C3"/>
              </w:rPr>
            </w:pPr>
            <w:r>
              <w:rPr>
                <w:b/>
                <w:color w:val="07A0C3"/>
              </w:rPr>
              <w:t>SUPPORTING HOUSING STABILITY</w:t>
            </w:r>
          </w:p>
        </w:tc>
        <w:tc>
          <w:tcPr>
            <w:tcW w:w="6540" w:type="dxa"/>
            <w:tcBorders>
              <w:top w:val="nil"/>
              <w:left w:val="nil"/>
              <w:bottom w:val="nil"/>
              <w:right w:val="nil"/>
            </w:tcBorders>
            <w:tcMar>
              <w:top w:w="72" w:type="dxa"/>
              <w:left w:w="72" w:type="dxa"/>
              <w:bottom w:w="72" w:type="dxa"/>
              <w:right w:w="72" w:type="dxa"/>
            </w:tcMar>
            <w:vAlign w:val="center"/>
          </w:tcPr>
          <w:p w14:paraId="19B32CD7" w14:textId="77777777" w:rsidR="005F296C" w:rsidRDefault="00000000">
            <w:pPr>
              <w:jc w:val="both"/>
            </w:pPr>
            <w:r>
              <w:rPr>
                <w:b/>
                <w:color w:val="F46516"/>
              </w:rPr>
              <w:t>584 Basic Needs Fund applications</w:t>
            </w:r>
            <w:r>
              <w:t xml:space="preserve"> completed to assist customers with housing-related emergencies.</w:t>
            </w:r>
          </w:p>
        </w:tc>
      </w:tr>
      <w:tr w:rsidR="005F296C" w14:paraId="7D4ECC43" w14:textId="77777777">
        <w:tc>
          <w:tcPr>
            <w:tcW w:w="630" w:type="dxa"/>
            <w:tcBorders>
              <w:top w:val="nil"/>
              <w:left w:val="nil"/>
              <w:bottom w:val="nil"/>
              <w:right w:val="nil"/>
            </w:tcBorders>
            <w:tcMar>
              <w:top w:w="72" w:type="dxa"/>
              <w:left w:w="72" w:type="dxa"/>
              <w:bottom w:w="72" w:type="dxa"/>
              <w:right w:w="72" w:type="dxa"/>
            </w:tcMar>
          </w:tcPr>
          <w:p w14:paraId="6D779CB2" w14:textId="77777777" w:rsidR="005F296C" w:rsidRDefault="00000000">
            <w:pPr>
              <w:jc w:val="center"/>
              <w:rPr>
                <w:b/>
                <w:sz w:val="40"/>
                <w:szCs w:val="40"/>
              </w:rPr>
            </w:pPr>
            <w:r>
              <w:rPr>
                <w:b/>
                <w:sz w:val="40"/>
                <w:szCs w:val="40"/>
              </w:rPr>
              <w:t>✓</w:t>
            </w:r>
          </w:p>
        </w:tc>
        <w:tc>
          <w:tcPr>
            <w:tcW w:w="2850" w:type="dxa"/>
            <w:tcBorders>
              <w:top w:val="nil"/>
              <w:left w:val="nil"/>
              <w:bottom w:val="nil"/>
              <w:right w:val="nil"/>
            </w:tcBorders>
            <w:tcMar>
              <w:top w:w="72" w:type="dxa"/>
              <w:left w:w="72" w:type="dxa"/>
              <w:bottom w:w="72" w:type="dxa"/>
              <w:right w:w="72" w:type="dxa"/>
            </w:tcMar>
            <w:vAlign w:val="center"/>
          </w:tcPr>
          <w:p w14:paraId="20C353EC" w14:textId="77777777" w:rsidR="005F296C" w:rsidRDefault="00000000">
            <w:pPr>
              <w:jc w:val="center"/>
              <w:rPr>
                <w:b/>
                <w:color w:val="07A0C3"/>
              </w:rPr>
            </w:pPr>
            <w:r>
              <w:rPr>
                <w:b/>
                <w:color w:val="07A0C3"/>
              </w:rPr>
              <w:t>IMPROVING FINANCIAL SITUATIONS</w:t>
            </w:r>
          </w:p>
        </w:tc>
        <w:tc>
          <w:tcPr>
            <w:tcW w:w="6540" w:type="dxa"/>
            <w:tcBorders>
              <w:top w:val="nil"/>
              <w:left w:val="nil"/>
              <w:bottom w:val="nil"/>
              <w:right w:val="nil"/>
            </w:tcBorders>
            <w:tcMar>
              <w:top w:w="72" w:type="dxa"/>
              <w:left w:w="72" w:type="dxa"/>
              <w:bottom w:w="72" w:type="dxa"/>
              <w:right w:w="72" w:type="dxa"/>
            </w:tcMar>
            <w:vAlign w:val="center"/>
          </w:tcPr>
          <w:p w14:paraId="007756EF" w14:textId="77777777" w:rsidR="005F296C" w:rsidRDefault="00000000">
            <w:pPr>
              <w:jc w:val="both"/>
            </w:pPr>
            <w:r>
              <w:rPr>
                <w:b/>
                <w:color w:val="F46516"/>
              </w:rPr>
              <w:t xml:space="preserve">$2,129,396 gained </w:t>
            </w:r>
            <w:r>
              <w:t>to</w:t>
            </w:r>
            <w:r>
              <w:rPr>
                <w:b/>
                <w:color w:val="F46516"/>
              </w:rPr>
              <w:t xml:space="preserve"> 980 customers</w:t>
            </w:r>
            <w:r>
              <w:t xml:space="preserve"> through taxes and benefits programs.</w:t>
            </w:r>
          </w:p>
        </w:tc>
      </w:tr>
    </w:tbl>
    <w:p w14:paraId="52FF2472" w14:textId="77777777" w:rsidR="005F296C" w:rsidRDefault="005F296C"/>
    <w:p w14:paraId="21260368" w14:textId="77777777" w:rsidR="005F296C" w:rsidRDefault="00000000">
      <w:pPr>
        <w:pStyle w:val="Heading2"/>
        <w:spacing w:before="0"/>
      </w:pPr>
      <w:bookmarkStart w:id="3" w:name="_6lmbo7uevsoi" w:colFirst="0" w:colLast="0"/>
      <w:bookmarkEnd w:id="3"/>
      <w:r>
        <w:t>From Scarcity to Strength:</w:t>
      </w:r>
    </w:p>
    <w:p w14:paraId="4A5D6607" w14:textId="45C625A6" w:rsidR="005F296C" w:rsidRDefault="00000000">
      <w:pPr>
        <w:numPr>
          <w:ilvl w:val="0"/>
          <w:numId w:val="2"/>
        </w:numPr>
        <w:jc w:val="both"/>
      </w:pPr>
      <w:r>
        <w:rPr>
          <w:b/>
          <w:color w:val="198A73"/>
        </w:rPr>
        <w:t>Stabilization</w:t>
      </w:r>
      <w:r>
        <w:t xml:space="preserve">: Rise Calgary alleviated urgent financial crises for numerous individuals and families </w:t>
      </w:r>
      <w:r w:rsidR="00985F36">
        <w:t xml:space="preserve">ensuring Calgarians have food, shelter, clothing and income through activities like filing taxes and accessing benefits and/or advocating for income. </w:t>
      </w:r>
    </w:p>
    <w:p w14:paraId="7C1FEBB0" w14:textId="265FB47A" w:rsidR="005F296C" w:rsidRDefault="00000000">
      <w:pPr>
        <w:numPr>
          <w:ilvl w:val="0"/>
          <w:numId w:val="2"/>
        </w:numPr>
        <w:jc w:val="both"/>
      </w:pPr>
      <w:r>
        <w:rPr>
          <w:b/>
          <w:color w:val="198A73"/>
        </w:rPr>
        <w:t>Mobility</w:t>
      </w:r>
      <w:r>
        <w:t>: Rise Calgary help</w:t>
      </w:r>
      <w:r w:rsidR="00985F36">
        <w:t xml:space="preserve">s customers build and maintain stability through our coaching approach to moving out of poverty. </w:t>
      </w:r>
    </w:p>
    <w:p w14:paraId="6FA1B446" w14:textId="2FFE1555" w:rsidR="005F296C" w:rsidRDefault="00000000">
      <w:pPr>
        <w:numPr>
          <w:ilvl w:val="0"/>
          <w:numId w:val="2"/>
        </w:numPr>
        <w:jc w:val="both"/>
      </w:pPr>
      <w:r>
        <w:rPr>
          <w:b/>
          <w:color w:val="198A73"/>
        </w:rPr>
        <w:t>Empowerment</w:t>
      </w:r>
      <w:r>
        <w:t xml:space="preserve">: Rise Calgary </w:t>
      </w:r>
      <w:r w:rsidR="00985F36">
        <w:t>strategizes with</w:t>
      </w:r>
      <w:r>
        <w:t xml:space="preserve"> individuals to </w:t>
      </w:r>
      <w:r w:rsidR="00985F36">
        <w:t>build financial</w:t>
      </w:r>
      <w:r>
        <w:t xml:space="preserve"> confidence</w:t>
      </w:r>
      <w:r w:rsidR="00985F36">
        <w:t xml:space="preserve"> and new financial assets</w:t>
      </w:r>
      <w:r>
        <w:t>.</w:t>
      </w:r>
    </w:p>
    <w:p w14:paraId="298DCCA7" w14:textId="77777777" w:rsidR="005F296C" w:rsidRDefault="005F296C">
      <w:pPr>
        <w:jc w:val="both"/>
      </w:pPr>
    </w:p>
    <w:p w14:paraId="3FF0F9CF" w14:textId="77777777" w:rsidR="005F296C" w:rsidRDefault="00000000">
      <w:pPr>
        <w:pStyle w:val="Heading2"/>
        <w:spacing w:before="0"/>
      </w:pPr>
      <w:bookmarkStart w:id="4" w:name="_ub54s2ulxv1e" w:colFirst="0" w:colLast="0"/>
      <w:bookmarkEnd w:id="4"/>
      <w:r>
        <w:t>By The Numbers:</w:t>
      </w:r>
    </w:p>
    <w:tbl>
      <w:tblPr>
        <w:tblStyle w:val="a1"/>
        <w:tblW w:w="98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45"/>
        <w:gridCol w:w="3330"/>
        <w:gridCol w:w="3210"/>
      </w:tblGrid>
      <w:tr w:rsidR="005F296C" w14:paraId="5C4C798C" w14:textId="77777777">
        <w:tc>
          <w:tcPr>
            <w:tcW w:w="3345" w:type="dxa"/>
            <w:shd w:val="clear" w:color="auto" w:fill="198A73"/>
            <w:tcMar>
              <w:top w:w="72" w:type="dxa"/>
              <w:left w:w="72" w:type="dxa"/>
              <w:bottom w:w="72" w:type="dxa"/>
              <w:right w:w="72" w:type="dxa"/>
            </w:tcMar>
          </w:tcPr>
          <w:p w14:paraId="1AAC5D8F" w14:textId="77777777" w:rsidR="005F296C" w:rsidRDefault="00000000">
            <w:pPr>
              <w:widowControl w:val="0"/>
              <w:pBdr>
                <w:top w:val="nil"/>
                <w:left w:val="nil"/>
                <w:bottom w:val="nil"/>
                <w:right w:val="nil"/>
                <w:between w:val="nil"/>
              </w:pBdr>
              <w:jc w:val="center"/>
              <w:rPr>
                <w:b/>
                <w:color w:val="F4F4F4"/>
              </w:rPr>
            </w:pPr>
            <w:r>
              <w:rPr>
                <w:b/>
                <w:color w:val="F4F4F4"/>
              </w:rPr>
              <w:t>Stabilization</w:t>
            </w:r>
          </w:p>
        </w:tc>
        <w:tc>
          <w:tcPr>
            <w:tcW w:w="3330" w:type="dxa"/>
            <w:shd w:val="clear" w:color="auto" w:fill="198A73"/>
            <w:tcMar>
              <w:top w:w="72" w:type="dxa"/>
              <w:left w:w="72" w:type="dxa"/>
              <w:bottom w:w="72" w:type="dxa"/>
              <w:right w:w="72" w:type="dxa"/>
            </w:tcMar>
          </w:tcPr>
          <w:p w14:paraId="618DE4E1" w14:textId="77777777" w:rsidR="005F296C" w:rsidRDefault="00000000">
            <w:pPr>
              <w:widowControl w:val="0"/>
              <w:pBdr>
                <w:top w:val="nil"/>
                <w:left w:val="nil"/>
                <w:bottom w:val="nil"/>
                <w:right w:val="nil"/>
                <w:between w:val="nil"/>
              </w:pBdr>
              <w:jc w:val="center"/>
              <w:rPr>
                <w:b/>
                <w:color w:val="F4F4F4"/>
              </w:rPr>
            </w:pPr>
            <w:r>
              <w:rPr>
                <w:b/>
                <w:color w:val="F4F4F4"/>
              </w:rPr>
              <w:t>Mobility</w:t>
            </w:r>
          </w:p>
        </w:tc>
        <w:tc>
          <w:tcPr>
            <w:tcW w:w="3210" w:type="dxa"/>
            <w:shd w:val="clear" w:color="auto" w:fill="198A73"/>
            <w:tcMar>
              <w:top w:w="72" w:type="dxa"/>
              <w:left w:w="72" w:type="dxa"/>
              <w:bottom w:w="72" w:type="dxa"/>
              <w:right w:w="72" w:type="dxa"/>
            </w:tcMar>
          </w:tcPr>
          <w:p w14:paraId="1B9272D8" w14:textId="77777777" w:rsidR="005F296C" w:rsidRDefault="00000000">
            <w:pPr>
              <w:widowControl w:val="0"/>
              <w:pBdr>
                <w:top w:val="nil"/>
                <w:left w:val="nil"/>
                <w:bottom w:val="nil"/>
                <w:right w:val="nil"/>
                <w:between w:val="nil"/>
              </w:pBdr>
              <w:ind w:right="-90"/>
              <w:jc w:val="center"/>
              <w:rPr>
                <w:b/>
                <w:color w:val="F4F4F4"/>
              </w:rPr>
            </w:pPr>
            <w:r>
              <w:rPr>
                <w:b/>
                <w:color w:val="F4F4F4"/>
              </w:rPr>
              <w:t>Empowerment</w:t>
            </w:r>
          </w:p>
        </w:tc>
      </w:tr>
      <w:tr w:rsidR="005F296C" w14:paraId="13CBD155" w14:textId="77777777">
        <w:tc>
          <w:tcPr>
            <w:tcW w:w="3345" w:type="dxa"/>
            <w:shd w:val="clear" w:color="auto" w:fill="auto"/>
            <w:tcMar>
              <w:top w:w="72" w:type="dxa"/>
              <w:left w:w="72" w:type="dxa"/>
              <w:bottom w:w="72" w:type="dxa"/>
              <w:right w:w="72" w:type="dxa"/>
            </w:tcMar>
            <w:vAlign w:val="center"/>
          </w:tcPr>
          <w:p w14:paraId="7CDFC8B9" w14:textId="77777777" w:rsidR="005F296C" w:rsidRDefault="00000000">
            <w:pPr>
              <w:widowControl w:val="0"/>
              <w:pBdr>
                <w:top w:val="nil"/>
                <w:left w:val="nil"/>
                <w:bottom w:val="nil"/>
                <w:right w:val="nil"/>
                <w:between w:val="nil"/>
              </w:pBdr>
              <w:jc w:val="center"/>
              <w:rPr>
                <w:sz w:val="22"/>
                <w:szCs w:val="22"/>
              </w:rPr>
            </w:pPr>
            <w:r>
              <w:rPr>
                <w:b/>
                <w:color w:val="198A73"/>
                <w:sz w:val="22"/>
                <w:szCs w:val="22"/>
              </w:rPr>
              <w:t xml:space="preserve">7093 </w:t>
            </w:r>
            <w:r>
              <w:rPr>
                <w:sz w:val="22"/>
                <w:szCs w:val="22"/>
              </w:rPr>
              <w:t>visits provided crucial food support, helping families stay strong.</w:t>
            </w:r>
          </w:p>
        </w:tc>
        <w:tc>
          <w:tcPr>
            <w:tcW w:w="3330" w:type="dxa"/>
            <w:shd w:val="clear" w:color="auto" w:fill="auto"/>
            <w:tcMar>
              <w:top w:w="72" w:type="dxa"/>
              <w:left w:w="72" w:type="dxa"/>
              <w:bottom w:w="72" w:type="dxa"/>
              <w:right w:w="72" w:type="dxa"/>
            </w:tcMar>
            <w:vAlign w:val="center"/>
          </w:tcPr>
          <w:p w14:paraId="30244B62" w14:textId="77777777" w:rsidR="005F296C" w:rsidRDefault="00000000">
            <w:pPr>
              <w:widowControl w:val="0"/>
              <w:pBdr>
                <w:top w:val="nil"/>
                <w:left w:val="nil"/>
                <w:bottom w:val="nil"/>
                <w:right w:val="nil"/>
                <w:between w:val="nil"/>
              </w:pBdr>
              <w:jc w:val="center"/>
              <w:rPr>
                <w:sz w:val="22"/>
                <w:szCs w:val="22"/>
              </w:rPr>
            </w:pPr>
            <w:r>
              <w:rPr>
                <w:b/>
                <w:color w:val="198A73"/>
                <w:sz w:val="22"/>
                <w:szCs w:val="22"/>
              </w:rPr>
              <w:t xml:space="preserve">563 </w:t>
            </w:r>
            <w:r>
              <w:rPr>
                <w:sz w:val="22"/>
                <w:szCs w:val="22"/>
              </w:rPr>
              <w:t>career and employment visits, fueling pathways to new opportunities.</w:t>
            </w:r>
          </w:p>
        </w:tc>
        <w:tc>
          <w:tcPr>
            <w:tcW w:w="3210" w:type="dxa"/>
            <w:shd w:val="clear" w:color="auto" w:fill="auto"/>
            <w:tcMar>
              <w:top w:w="72" w:type="dxa"/>
              <w:left w:w="72" w:type="dxa"/>
              <w:bottom w:w="72" w:type="dxa"/>
              <w:right w:w="72" w:type="dxa"/>
            </w:tcMar>
            <w:vAlign w:val="center"/>
          </w:tcPr>
          <w:p w14:paraId="7B6CB0E9" w14:textId="77777777" w:rsidR="005F296C" w:rsidRDefault="00000000">
            <w:pPr>
              <w:widowControl w:val="0"/>
              <w:pBdr>
                <w:top w:val="nil"/>
                <w:left w:val="nil"/>
                <w:bottom w:val="nil"/>
                <w:right w:val="nil"/>
                <w:between w:val="nil"/>
              </w:pBdr>
              <w:jc w:val="center"/>
              <w:rPr>
                <w:sz w:val="22"/>
                <w:szCs w:val="22"/>
              </w:rPr>
            </w:pPr>
            <w:r>
              <w:rPr>
                <w:b/>
                <w:color w:val="198A73"/>
                <w:sz w:val="22"/>
                <w:szCs w:val="22"/>
              </w:rPr>
              <w:t xml:space="preserve">57 </w:t>
            </w:r>
            <w:r>
              <w:rPr>
                <w:sz w:val="22"/>
                <w:szCs w:val="22"/>
              </w:rPr>
              <w:t>customers empowered to take control of their financial futures through expert coaching.</w:t>
            </w:r>
          </w:p>
        </w:tc>
      </w:tr>
      <w:tr w:rsidR="005F296C" w14:paraId="24A470FF" w14:textId="77777777">
        <w:tc>
          <w:tcPr>
            <w:tcW w:w="3345" w:type="dxa"/>
            <w:shd w:val="clear" w:color="auto" w:fill="auto"/>
            <w:tcMar>
              <w:top w:w="72" w:type="dxa"/>
              <w:left w:w="72" w:type="dxa"/>
              <w:bottom w:w="72" w:type="dxa"/>
              <w:right w:w="72" w:type="dxa"/>
            </w:tcMar>
            <w:vAlign w:val="center"/>
          </w:tcPr>
          <w:p w14:paraId="0D2A78EF" w14:textId="77777777" w:rsidR="005F296C" w:rsidRDefault="00000000">
            <w:pPr>
              <w:widowControl w:val="0"/>
              <w:pBdr>
                <w:top w:val="nil"/>
                <w:left w:val="nil"/>
                <w:bottom w:val="nil"/>
                <w:right w:val="nil"/>
                <w:between w:val="nil"/>
              </w:pBdr>
              <w:jc w:val="center"/>
              <w:rPr>
                <w:sz w:val="22"/>
                <w:szCs w:val="22"/>
              </w:rPr>
            </w:pPr>
            <w:r>
              <w:rPr>
                <w:b/>
                <w:color w:val="198A73"/>
                <w:sz w:val="22"/>
                <w:szCs w:val="22"/>
              </w:rPr>
              <w:t>13,531</w:t>
            </w:r>
            <w:r>
              <w:rPr>
                <w:sz w:val="22"/>
                <w:szCs w:val="22"/>
              </w:rPr>
              <w:t xml:space="preserve"> visits ensured housing and basic needs were met.</w:t>
            </w:r>
          </w:p>
        </w:tc>
        <w:tc>
          <w:tcPr>
            <w:tcW w:w="3330" w:type="dxa"/>
            <w:shd w:val="clear" w:color="auto" w:fill="auto"/>
            <w:tcMar>
              <w:top w:w="72" w:type="dxa"/>
              <w:left w:w="72" w:type="dxa"/>
              <w:bottom w:w="72" w:type="dxa"/>
              <w:right w:w="72" w:type="dxa"/>
            </w:tcMar>
            <w:vAlign w:val="center"/>
          </w:tcPr>
          <w:p w14:paraId="316E0E24" w14:textId="77777777" w:rsidR="005F296C" w:rsidRDefault="00000000">
            <w:pPr>
              <w:widowControl w:val="0"/>
              <w:pBdr>
                <w:top w:val="nil"/>
                <w:left w:val="nil"/>
                <w:bottom w:val="nil"/>
                <w:right w:val="nil"/>
                <w:between w:val="nil"/>
              </w:pBdr>
              <w:jc w:val="center"/>
              <w:rPr>
                <w:sz w:val="22"/>
                <w:szCs w:val="22"/>
              </w:rPr>
            </w:pPr>
            <w:r>
              <w:rPr>
                <w:b/>
                <w:color w:val="198A73"/>
                <w:sz w:val="22"/>
                <w:szCs w:val="22"/>
              </w:rPr>
              <w:t xml:space="preserve">198 </w:t>
            </w:r>
            <w:r>
              <w:rPr>
                <w:sz w:val="22"/>
                <w:szCs w:val="22"/>
              </w:rPr>
              <w:t xml:space="preserve">hours spent with </w:t>
            </w:r>
            <w:r>
              <w:rPr>
                <w:b/>
                <w:color w:val="198A73"/>
                <w:sz w:val="22"/>
                <w:szCs w:val="22"/>
              </w:rPr>
              <w:t>32</w:t>
            </w:r>
            <w:r>
              <w:rPr>
                <w:sz w:val="22"/>
                <w:szCs w:val="22"/>
              </w:rPr>
              <w:t xml:space="preserve"> unique customers on Mobility Coaching</w:t>
            </w:r>
          </w:p>
        </w:tc>
        <w:tc>
          <w:tcPr>
            <w:tcW w:w="3210" w:type="dxa"/>
            <w:shd w:val="clear" w:color="auto" w:fill="auto"/>
            <w:tcMar>
              <w:top w:w="72" w:type="dxa"/>
              <w:left w:w="72" w:type="dxa"/>
              <w:bottom w:w="72" w:type="dxa"/>
              <w:right w:w="72" w:type="dxa"/>
            </w:tcMar>
            <w:vAlign w:val="center"/>
          </w:tcPr>
          <w:p w14:paraId="66214016" w14:textId="77777777" w:rsidR="005F296C" w:rsidRDefault="00000000">
            <w:pPr>
              <w:widowControl w:val="0"/>
              <w:pBdr>
                <w:top w:val="nil"/>
                <w:left w:val="nil"/>
                <w:bottom w:val="nil"/>
                <w:right w:val="nil"/>
                <w:between w:val="nil"/>
              </w:pBdr>
              <w:jc w:val="center"/>
              <w:rPr>
                <w:sz w:val="22"/>
                <w:szCs w:val="22"/>
              </w:rPr>
            </w:pPr>
            <w:r>
              <w:rPr>
                <w:b/>
                <w:color w:val="198A73"/>
                <w:sz w:val="22"/>
                <w:szCs w:val="22"/>
              </w:rPr>
              <w:t>12</w:t>
            </w:r>
            <w:r>
              <w:rPr>
                <w:sz w:val="22"/>
                <w:szCs w:val="22"/>
              </w:rPr>
              <w:t xml:space="preserve"> community engagements for the Talking Taxes program empowering </w:t>
            </w:r>
            <w:r>
              <w:rPr>
                <w:b/>
                <w:color w:val="198A73"/>
                <w:sz w:val="22"/>
                <w:szCs w:val="22"/>
              </w:rPr>
              <w:t xml:space="preserve">787 </w:t>
            </w:r>
            <w:r>
              <w:rPr>
                <w:sz w:val="22"/>
                <w:szCs w:val="22"/>
              </w:rPr>
              <w:t>unique participants in their communities.</w:t>
            </w:r>
          </w:p>
        </w:tc>
      </w:tr>
      <w:tr w:rsidR="005F296C" w14:paraId="28417E93" w14:textId="77777777">
        <w:tc>
          <w:tcPr>
            <w:tcW w:w="3345" w:type="dxa"/>
            <w:shd w:val="clear" w:color="auto" w:fill="auto"/>
            <w:tcMar>
              <w:top w:w="72" w:type="dxa"/>
              <w:left w:w="72" w:type="dxa"/>
              <w:bottom w:w="72" w:type="dxa"/>
              <w:right w:w="72" w:type="dxa"/>
            </w:tcMar>
            <w:vAlign w:val="center"/>
          </w:tcPr>
          <w:p w14:paraId="538FBAC8" w14:textId="77777777" w:rsidR="005F296C" w:rsidRDefault="00000000">
            <w:pPr>
              <w:widowControl w:val="0"/>
              <w:pBdr>
                <w:top w:val="nil"/>
                <w:left w:val="nil"/>
                <w:bottom w:val="nil"/>
                <w:right w:val="nil"/>
                <w:between w:val="nil"/>
              </w:pBdr>
              <w:jc w:val="center"/>
              <w:rPr>
                <w:sz w:val="22"/>
                <w:szCs w:val="22"/>
              </w:rPr>
            </w:pPr>
            <w:r>
              <w:rPr>
                <w:b/>
                <w:color w:val="198A73"/>
                <w:sz w:val="22"/>
                <w:szCs w:val="22"/>
              </w:rPr>
              <w:t xml:space="preserve">386 </w:t>
            </w:r>
            <w:r>
              <w:rPr>
                <w:sz w:val="22"/>
                <w:szCs w:val="22"/>
              </w:rPr>
              <w:t>completed years of taxes filed in Talking Taxes.</w:t>
            </w:r>
          </w:p>
        </w:tc>
        <w:tc>
          <w:tcPr>
            <w:tcW w:w="3330" w:type="dxa"/>
            <w:shd w:val="clear" w:color="auto" w:fill="auto"/>
            <w:tcMar>
              <w:top w:w="72" w:type="dxa"/>
              <w:left w:w="72" w:type="dxa"/>
              <w:bottom w:w="72" w:type="dxa"/>
              <w:right w:w="72" w:type="dxa"/>
            </w:tcMar>
            <w:vAlign w:val="center"/>
          </w:tcPr>
          <w:p w14:paraId="4BFD63D2" w14:textId="77777777" w:rsidR="005F296C" w:rsidRDefault="00000000">
            <w:pPr>
              <w:widowControl w:val="0"/>
              <w:pBdr>
                <w:top w:val="nil"/>
                <w:left w:val="nil"/>
                <w:bottom w:val="nil"/>
                <w:right w:val="nil"/>
                <w:between w:val="nil"/>
              </w:pBdr>
              <w:jc w:val="center"/>
              <w:rPr>
                <w:sz w:val="22"/>
                <w:szCs w:val="22"/>
              </w:rPr>
            </w:pPr>
            <w:r>
              <w:rPr>
                <w:b/>
                <w:color w:val="198A73"/>
                <w:sz w:val="22"/>
                <w:szCs w:val="22"/>
              </w:rPr>
              <w:t xml:space="preserve">879 </w:t>
            </w:r>
            <w:r>
              <w:rPr>
                <w:sz w:val="22"/>
                <w:szCs w:val="22"/>
              </w:rPr>
              <w:t>coaching interactions, driving progress and unlocking potential.</w:t>
            </w:r>
          </w:p>
        </w:tc>
        <w:tc>
          <w:tcPr>
            <w:tcW w:w="3210" w:type="dxa"/>
            <w:shd w:val="clear" w:color="auto" w:fill="auto"/>
            <w:tcMar>
              <w:top w:w="72" w:type="dxa"/>
              <w:left w:w="72" w:type="dxa"/>
              <w:bottom w:w="72" w:type="dxa"/>
              <w:right w:w="72" w:type="dxa"/>
            </w:tcMar>
            <w:vAlign w:val="center"/>
          </w:tcPr>
          <w:p w14:paraId="52EB4EF9" w14:textId="77777777" w:rsidR="005F296C" w:rsidRDefault="00000000">
            <w:pPr>
              <w:widowControl w:val="0"/>
              <w:pBdr>
                <w:top w:val="nil"/>
                <w:left w:val="nil"/>
                <w:bottom w:val="nil"/>
                <w:right w:val="nil"/>
                <w:between w:val="nil"/>
              </w:pBdr>
              <w:jc w:val="center"/>
              <w:rPr>
                <w:sz w:val="22"/>
                <w:szCs w:val="22"/>
              </w:rPr>
            </w:pPr>
            <w:r>
              <w:rPr>
                <w:b/>
                <w:color w:val="198A73"/>
                <w:sz w:val="22"/>
                <w:szCs w:val="22"/>
              </w:rPr>
              <w:t xml:space="preserve">737 </w:t>
            </w:r>
            <w:r>
              <w:rPr>
                <w:sz w:val="22"/>
                <w:szCs w:val="22"/>
              </w:rPr>
              <w:t>community connections built, fostering support, collaboration, and growth.</w:t>
            </w:r>
          </w:p>
        </w:tc>
      </w:tr>
    </w:tbl>
    <w:p w14:paraId="73A19841" w14:textId="77777777" w:rsidR="005F296C" w:rsidRDefault="005F296C"/>
    <w:p w14:paraId="195AE110" w14:textId="77777777" w:rsidR="005F296C" w:rsidRDefault="00000000">
      <w:pPr>
        <w:pStyle w:val="Heading3"/>
        <w:jc w:val="center"/>
      </w:pPr>
      <w:bookmarkStart w:id="5" w:name="_1uv0kun1xqkb" w:colFirst="0" w:colLast="0"/>
      <w:bookmarkEnd w:id="5"/>
      <w:r>
        <w:rPr>
          <w:noProof/>
        </w:rPr>
        <w:drawing>
          <wp:inline distT="114300" distB="114300" distL="114300" distR="114300" wp14:anchorId="173C5C4D" wp14:editId="01ADAC86">
            <wp:extent cx="1619250" cy="97557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619250" cy="975573"/>
                    </a:xfrm>
                    <a:prstGeom prst="rect">
                      <a:avLst/>
                    </a:prstGeom>
                    <a:ln/>
                  </pic:spPr>
                </pic:pic>
              </a:graphicData>
            </a:graphic>
          </wp:inline>
        </w:drawing>
      </w:r>
    </w:p>
    <w:sectPr w:rsidR="005F296C">
      <w:pgSz w:w="12240" w:h="15840"/>
      <w:pgMar w:top="117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BBFA8F" w14:textId="77777777" w:rsidR="00DD1BB6" w:rsidRDefault="00DD1BB6">
      <w:r>
        <w:separator/>
      </w:r>
    </w:p>
  </w:endnote>
  <w:endnote w:type="continuationSeparator" w:id="0">
    <w:p w14:paraId="4D434A3F" w14:textId="77777777" w:rsidR="00DD1BB6" w:rsidRDefault="00DD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venir">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2EE67E" w14:textId="77777777" w:rsidR="00DD1BB6" w:rsidRDefault="00DD1BB6">
      <w:r>
        <w:separator/>
      </w:r>
    </w:p>
  </w:footnote>
  <w:footnote w:type="continuationSeparator" w:id="0">
    <w:p w14:paraId="236F9950" w14:textId="77777777" w:rsidR="00DD1BB6" w:rsidRDefault="00DD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34192" w14:textId="77777777" w:rsidR="005F296C" w:rsidRDefault="00000000">
    <w:r>
      <w:pict w14:anchorId="3A8F1B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65.65pt;height:247.1pt;rotation:315;z-index:-251658752;mso-position-horizontal:center;mso-position-horizontal-relative:margin;mso-position-vertical:center;mso-position-vertical-relative:margin" fillcolor="#e8eaed" stroked="f">
          <v:textpath style="font-family:&quot;&amp;quot&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FD7EBC"/>
    <w:multiLevelType w:val="multilevel"/>
    <w:tmpl w:val="A59273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DA41553"/>
    <w:multiLevelType w:val="multilevel"/>
    <w:tmpl w:val="8F424F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94840011">
    <w:abstractNumId w:val="0"/>
  </w:num>
  <w:num w:numId="2" w16cid:durableId="460273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96C"/>
    <w:rsid w:val="00166110"/>
    <w:rsid w:val="005F296C"/>
    <w:rsid w:val="00666555"/>
    <w:rsid w:val="00985F36"/>
    <w:rsid w:val="00DD1B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6CE37"/>
  <w15:docId w15:val="{C7AF0ADC-5C00-4487-9EBD-B9533CF34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venir" w:eastAsia="Avenir" w:hAnsi="Avenir" w:cs="Avenir"/>
        <w:sz w:val="24"/>
        <w:szCs w:val="24"/>
        <w:lang w:val="en"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673</Words>
  <Characters>3837</Characters>
  <Application>Microsoft Office Word</Application>
  <DocSecurity>0</DocSecurity>
  <Lines>31</Lines>
  <Paragraphs>9</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Salimah Kassam</dc:creator>
  <cp:lastModifiedBy>Salimah Kassam</cp:lastModifiedBy>
  <cp:revision>3</cp:revision>
  <dcterms:created xsi:type="dcterms:W3CDTF">2024-09-25T02:18:00Z</dcterms:created>
  <dcterms:modified xsi:type="dcterms:W3CDTF">2024-09-26T17:03:00Z</dcterms:modified>
</cp:coreProperties>
</file>