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CECBFD" w:rsidP="3FCECBFD" w:rsidRDefault="3FCECBFD" w14:paraId="78FED57D" w14:textId="293782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3"/>
          <w:szCs w:val="23"/>
        </w:rPr>
      </w:pPr>
    </w:p>
    <w:tbl>
      <w:tblPr>
        <w:tblStyle w:val="PlainTable1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FCECBFD" w:rsidTr="4604AE31" w14:paraId="462C6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DAE8F8"/>
            <w:tcMar/>
          </w:tcPr>
          <w:p w:rsidR="43E93B9E" w:rsidP="3FCECBFD" w:rsidRDefault="43E93B9E" w14:paraId="3C00D6F2" w14:textId="272FD17C">
            <w:pPr>
              <w:pStyle w:val="Normal"/>
              <w:rPr>
                <w:sz w:val="23"/>
                <w:szCs w:val="23"/>
              </w:rPr>
            </w:pPr>
            <w:r w:rsidRPr="3FCECBFD" w:rsidR="43E93B9E">
              <w:rPr>
                <w:sz w:val="23"/>
                <w:szCs w:val="23"/>
              </w:rPr>
              <w:t>Andregjøring</w:t>
            </w:r>
          </w:p>
          <w:p w:rsidR="43E93B9E" w:rsidP="3FCECBFD" w:rsidRDefault="43E93B9E" w14:paraId="3BE29D56" w14:textId="770F71A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Andregjøring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viser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ord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handlinger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prosesser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plasserer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individer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«de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»,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del av «vi/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oss</w:t>
            </w:r>
            <w:r w:rsidRPr="3FCECBFD" w:rsidR="43E93B9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».</w:t>
            </w:r>
          </w:p>
          <w:p w:rsidR="3FCECBFD" w:rsidP="3FCECBFD" w:rsidRDefault="3FCECBFD" w14:paraId="7FFA0158" w14:textId="73D29107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43E93B9E" w:rsidP="3FCECBFD" w:rsidRDefault="43E93B9E" w14:paraId="00B4F9D4" w14:textId="2814407D">
            <w:pPr>
              <w:pStyle w:val="Normal"/>
              <w:rPr>
                <w:sz w:val="23"/>
                <w:szCs w:val="23"/>
              </w:rPr>
            </w:pPr>
            <w:r w:rsidRPr="3FCECBFD" w:rsidR="43E93B9E">
              <w:rPr>
                <w:sz w:val="23"/>
                <w:szCs w:val="23"/>
              </w:rPr>
              <w:t>Utenforskap</w:t>
            </w:r>
          </w:p>
          <w:p w:rsidR="755C43BD" w:rsidP="3FCECBFD" w:rsidRDefault="755C43BD" w14:paraId="476A5BCB" w14:textId="6B01EB24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Utenforskap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handler om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manglende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tilknytning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resten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av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samfunnet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Det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være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enkeltpersoner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deltar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lite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samfunnet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faller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utenfor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sosialt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politisk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økonomisk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kulturelt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annet</w:t>
            </w:r>
            <w:r w:rsidRPr="3FCECBFD" w:rsidR="755C43B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vis. </w:t>
            </w:r>
          </w:p>
          <w:p w:rsidR="3FCECBFD" w:rsidP="3FCECBFD" w:rsidRDefault="3FCECBFD" w14:paraId="0161C2B5" w14:textId="3B34B307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DAE8F8"/>
            <w:tcMar/>
          </w:tcPr>
          <w:p w:rsidR="43E93B9E" w:rsidP="3FCECBFD" w:rsidRDefault="43E93B9E" w14:paraId="3985B6A5" w14:textId="3E9D3B6F">
            <w:pPr>
              <w:pStyle w:val="Normal"/>
              <w:rPr>
                <w:sz w:val="23"/>
                <w:szCs w:val="23"/>
              </w:rPr>
            </w:pPr>
            <w:r w:rsidRPr="3FCECBFD" w:rsidR="43E93B9E">
              <w:rPr>
                <w:sz w:val="23"/>
                <w:szCs w:val="23"/>
              </w:rPr>
              <w:t>Hverdagsrasisme</w:t>
            </w:r>
          </w:p>
          <w:p w:rsidR="41D43CCC" w:rsidP="3FCECBFD" w:rsidRDefault="41D43CCC" w14:paraId="202B3224" w14:textId="1E3AA770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Hverdagsrasisme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alle de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små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hendelsene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opplevelsene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utsagnene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bekrefter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at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oppfattes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“de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”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fra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deres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hudfarge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opphav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Det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være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åpent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rasistiske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hendelser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men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også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hendelser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der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avsenderen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har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rasistisk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intensjon</w:t>
            </w:r>
            <w:r w:rsidRPr="3FCECBFD" w:rsidR="41D43C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</w:p>
          <w:p w:rsidR="3FCECBFD" w:rsidP="3FCECBFD" w:rsidRDefault="3FCECBFD" w14:paraId="39F043F7" w14:textId="4A334A6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</w:p>
        </w:tc>
      </w:tr>
      <w:tr w:rsidR="3FCECBFD" w:rsidTr="4604AE31" w14:paraId="496522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43E93B9E" w:rsidP="3FCECBFD" w:rsidRDefault="43E93B9E" w14:paraId="24C5688D" w14:textId="2CE8A47A">
            <w:pPr>
              <w:pStyle w:val="Normal"/>
              <w:rPr>
                <w:sz w:val="23"/>
                <w:szCs w:val="23"/>
              </w:rPr>
            </w:pPr>
            <w:r w:rsidRPr="3FCECBFD" w:rsidR="43E93B9E">
              <w:rPr>
                <w:sz w:val="23"/>
                <w:szCs w:val="23"/>
              </w:rPr>
              <w:t>Fordommer</w:t>
            </w:r>
          </w:p>
          <w:p w:rsidR="33950CB6" w:rsidP="3FCECBFD" w:rsidRDefault="33950CB6" w14:paraId="10EE4B2D" w14:textId="6F35945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Fordommer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holdninger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mennesker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basert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forutinntatte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oppfatninger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om den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gruppen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blir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identifisert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med. Det er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holdninger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personer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alene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bakgrunn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av den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gruppen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identifiseres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med,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grunn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av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personlige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egenskaper</w:t>
            </w:r>
            <w:r w:rsidRPr="3FCECBFD" w:rsidR="33950CB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</w:p>
          <w:p w:rsidR="3FCECBFD" w:rsidP="3FCECBFD" w:rsidRDefault="3FCECBFD" w14:paraId="5BCD06E7" w14:textId="588CB6C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DAE8F8"/>
            <w:tcMar/>
          </w:tcPr>
          <w:p w:rsidR="43E93B9E" w:rsidP="3FCECBFD" w:rsidRDefault="43E93B9E" w14:paraId="3828CBD8" w14:textId="39011936">
            <w:pPr>
              <w:pStyle w:val="Normal"/>
              <w:rPr>
                <w:b w:val="1"/>
                <w:bCs w:val="1"/>
                <w:sz w:val="23"/>
                <w:szCs w:val="23"/>
              </w:rPr>
            </w:pPr>
            <w:r w:rsidRPr="3FCECBFD" w:rsidR="43E93B9E">
              <w:rPr>
                <w:b w:val="1"/>
                <w:bCs w:val="1"/>
                <w:sz w:val="23"/>
                <w:szCs w:val="23"/>
              </w:rPr>
              <w:t>Mikroaggresjon</w:t>
            </w:r>
          </w:p>
          <w:p w:rsidR="03EB6AF7" w:rsidP="3FCECBFD" w:rsidRDefault="03EB6AF7" w14:paraId="4CBE43D3" w14:textId="5ADC83C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Mikroaggresjon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ytringer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handlinger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markerer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person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annerledes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avvikende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uten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avsenderen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nødvendigvis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mener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sånn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Det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være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negative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utsagn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lukter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vondt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men det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også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være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utsagn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ment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positivt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at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så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“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eksotisk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”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hår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klesdrakt</w:t>
            </w:r>
            <w:r w:rsidRPr="3FCECBFD" w:rsidR="03EB6A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</w:p>
          <w:p w:rsidR="3FCECBFD" w:rsidP="3FCECBFD" w:rsidRDefault="3FCECBFD" w14:paraId="32670ADF" w14:textId="52D73E84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43E93B9E" w:rsidP="3FCECBFD" w:rsidRDefault="43E93B9E" w14:paraId="00B1CDB3" w14:textId="773E92F3">
            <w:pPr>
              <w:pStyle w:val="Normal"/>
              <w:rPr>
                <w:b w:val="1"/>
                <w:bCs w:val="1"/>
                <w:sz w:val="23"/>
                <w:szCs w:val="23"/>
              </w:rPr>
            </w:pPr>
            <w:r w:rsidRPr="3FCECBFD" w:rsidR="43E93B9E">
              <w:rPr>
                <w:b w:val="1"/>
                <w:bCs w:val="1"/>
                <w:sz w:val="23"/>
                <w:szCs w:val="23"/>
              </w:rPr>
              <w:t>Stereotypier</w:t>
            </w:r>
          </w:p>
          <w:p w:rsidR="6E64BD03" w:rsidP="3FCECBFD" w:rsidRDefault="6E64BD03" w14:paraId="733C50BD" w14:textId="56B41535">
            <w:pPr>
              <w:pStyle w:val="Normal"/>
              <w:rPr>
                <w:rFonts w:ascii="Calibri Light" w:hAnsi="Calibri Light" w:eastAsia="Calibri Light" w:cs="Calibri Light"/>
                <w:noProof w:val="0"/>
                <w:sz w:val="23"/>
                <w:szCs w:val="23"/>
                <w:lang w:val="en-US"/>
              </w:rPr>
            </w:pP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En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stereotypi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fastlåst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forestilling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om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basert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generalisering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om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gruppens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medlemmer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Stereotypier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vil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endres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justeres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lys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av nye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fakta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møter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med 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mennesker</w:t>
            </w:r>
            <w:r w:rsidRPr="3FCECBFD" w:rsidR="6E64BD0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</w:p>
        </w:tc>
      </w:tr>
      <w:tr w:rsidR="3FCECBFD" w:rsidTr="4604AE31" w14:paraId="3A271E6E">
        <w:trPr>
          <w:trHeight w:val="5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DAE8F8"/>
            <w:tcMar/>
          </w:tcPr>
          <w:p w:rsidR="43E93B9E" w:rsidP="3FCECBFD" w:rsidRDefault="43E93B9E" w14:paraId="3CF4D505" w14:textId="4EDA723C">
            <w:pPr>
              <w:pStyle w:val="Normal"/>
              <w:rPr>
                <w:sz w:val="23"/>
                <w:szCs w:val="23"/>
              </w:rPr>
            </w:pPr>
            <w:r w:rsidRPr="3FCECBFD" w:rsidR="43E93B9E">
              <w:rPr>
                <w:sz w:val="23"/>
                <w:szCs w:val="23"/>
              </w:rPr>
              <w:t>Diskriminere</w:t>
            </w:r>
          </w:p>
          <w:p w:rsidR="7902751D" w:rsidP="3FCECBFD" w:rsidRDefault="7902751D" w14:paraId="1816EF37" w14:textId="4A85268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</w:pP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Diskriminering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når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blir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urettferdig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behandlet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fordi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tilhører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oppfattes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å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tilhøre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bestemt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</w:t>
            </w:r>
            <w:r w:rsidRPr="3FCECBFD" w:rsidR="7902751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  <w:r w:rsidRPr="3FCECBFD" w:rsidR="0F08DA8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43E93B9E" w:rsidP="3FCECBFD" w:rsidRDefault="43E93B9E" w14:paraId="18EA2DAD" w14:textId="72DEA105">
            <w:pPr>
              <w:pStyle w:val="Normal"/>
              <w:rPr>
                <w:b w:val="1"/>
                <w:bCs w:val="1"/>
                <w:sz w:val="23"/>
                <w:szCs w:val="23"/>
              </w:rPr>
            </w:pPr>
            <w:r w:rsidRPr="3FCECBFD" w:rsidR="43E93B9E">
              <w:rPr>
                <w:b w:val="1"/>
                <w:bCs w:val="1"/>
                <w:sz w:val="23"/>
                <w:szCs w:val="23"/>
              </w:rPr>
              <w:t>Rasisme</w:t>
            </w:r>
          </w:p>
          <w:p w:rsidR="7A848DA9" w:rsidP="3FCECBFD" w:rsidRDefault="7A848DA9" w14:paraId="2865F3DC" w14:textId="44BF54B4">
            <w:pPr>
              <w:pStyle w:val="Normal"/>
              <w:rPr>
                <w:rFonts w:ascii="Calibri Light" w:hAnsi="Calibri Light" w:eastAsia="Calibri Light" w:cs="Calibri Light"/>
                <w:noProof w:val="0"/>
                <w:sz w:val="23"/>
                <w:szCs w:val="23"/>
                <w:lang w:val="en-US"/>
              </w:rPr>
            </w:pP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Rasisme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handler om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at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grupper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rangeres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etter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opphav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om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forskjellsbehandling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fra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denne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rangeringen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Rasisme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være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villet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det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knyttes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ideologi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Men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forskjellsbehandling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fra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hudfarge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andre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trekk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knyttet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«rase»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kan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også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skje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mindre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bevisst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et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resultat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av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handlinger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samfunnsstrukturer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eller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inngrodde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vaner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der det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ligger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rasistisk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intensjon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bak</w:t>
            </w:r>
            <w:r w:rsidRPr="3FCECBFD" w:rsidR="7A848D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DAE8F8"/>
            <w:tcMar/>
          </w:tcPr>
          <w:p w:rsidR="05A30DCA" w:rsidP="3FCECBFD" w:rsidRDefault="05A30DCA" w14:paraId="087E882D" w14:textId="4DC4F137">
            <w:pPr>
              <w:pStyle w:val="Normal"/>
              <w:rPr>
                <w:b w:val="1"/>
                <w:bCs w:val="1"/>
                <w:sz w:val="23"/>
                <w:szCs w:val="23"/>
              </w:rPr>
            </w:pPr>
            <w:r w:rsidRPr="3FCECBFD" w:rsidR="05A30DCA">
              <w:rPr>
                <w:b w:val="1"/>
                <w:bCs w:val="1"/>
                <w:sz w:val="23"/>
                <w:szCs w:val="23"/>
              </w:rPr>
              <w:t>Muslimfiendtlighet</w:t>
            </w:r>
          </w:p>
          <w:p w:rsidR="05A30DCA" w:rsidP="3FCECBFD" w:rsidRDefault="05A30DCA" w14:paraId="616694C6" w14:textId="4354AB97">
            <w:pPr>
              <w:pStyle w:val="Normal"/>
              <w:rPr>
                <w:rFonts w:ascii="Calibri Light" w:hAnsi="Calibri Light" w:eastAsia="Calibri Light" w:cs="Calibri Light"/>
                <w:noProof w:val="0"/>
                <w:sz w:val="23"/>
                <w:szCs w:val="23"/>
                <w:lang w:val="en-US"/>
              </w:rPr>
            </w:pP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Muslimfiendtlighet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negative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holdninger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handlinger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rettet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mot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muslimer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,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basert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på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bestemte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forestillinger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om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muslimer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islam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.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Et synonym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muslimfiendlighet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islamofobi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.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Noen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er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kritiske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dette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begrepet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fordi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det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viser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religionen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(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islam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)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og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ikke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til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individene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som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utøver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religionen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 xml:space="preserve"> (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muslimer</w:t>
            </w:r>
            <w:r w:rsidRPr="4604AE31" w:rsidR="4A42D54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3"/>
                <w:szCs w:val="23"/>
                <w:lang w:val="en-US"/>
              </w:rPr>
              <w:t>).</w:t>
            </w:r>
          </w:p>
        </w:tc>
      </w:tr>
    </w:tbl>
    <w:p w:rsidR="3FCECBFD" w:rsidP="3FCECBFD" w:rsidRDefault="3FCECBFD" w14:paraId="0DD044A8" w14:textId="0FAD515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3F4D7"/>
    <w:rsid w:val="03EB6AF7"/>
    <w:rsid w:val="05A30DCA"/>
    <w:rsid w:val="08E14ABE"/>
    <w:rsid w:val="094C302F"/>
    <w:rsid w:val="0D8C2BFC"/>
    <w:rsid w:val="0F08DA8D"/>
    <w:rsid w:val="0FE873EB"/>
    <w:rsid w:val="14F50632"/>
    <w:rsid w:val="1783DDF5"/>
    <w:rsid w:val="1BF913C7"/>
    <w:rsid w:val="1D83F4D7"/>
    <w:rsid w:val="26398D6F"/>
    <w:rsid w:val="288EE9C5"/>
    <w:rsid w:val="2F7DA31E"/>
    <w:rsid w:val="30E67906"/>
    <w:rsid w:val="3105E8F2"/>
    <w:rsid w:val="33950CB6"/>
    <w:rsid w:val="3FCECBFD"/>
    <w:rsid w:val="41963F57"/>
    <w:rsid w:val="41D43CCC"/>
    <w:rsid w:val="43E93B9E"/>
    <w:rsid w:val="4604AE31"/>
    <w:rsid w:val="4A42D541"/>
    <w:rsid w:val="5AF616A1"/>
    <w:rsid w:val="6D434744"/>
    <w:rsid w:val="6E218EB0"/>
    <w:rsid w:val="6E64BD03"/>
    <w:rsid w:val="716EB681"/>
    <w:rsid w:val="755C43BD"/>
    <w:rsid w:val="7902751D"/>
    <w:rsid w:val="7A848DA9"/>
    <w:rsid w:val="7C7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F4D7"/>
  <w15:chartTrackingRefBased/>
  <w15:docId w15:val="{78FEB07E-4BD4-4C2A-9E66-CDC59BD6C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3FAF14828C4AB3DFBEDFDA15CECE" ma:contentTypeVersion="11" ma:contentTypeDescription="Opprett et nytt dokument." ma:contentTypeScope="" ma:versionID="08ebb10dd4839b9913063a6c19be86ad">
  <xsd:schema xmlns:xsd="http://www.w3.org/2001/XMLSchema" xmlns:xs="http://www.w3.org/2001/XMLSchema" xmlns:p="http://schemas.microsoft.com/office/2006/metadata/properties" xmlns:ns2="7fc5629f-a050-43db-8a70-ceb5369ea4f3" xmlns:ns3="073c861d-c207-435a-9d08-1f006f508f2c" targetNamespace="http://schemas.microsoft.com/office/2006/metadata/properties" ma:root="true" ma:fieldsID="234c0d99c5e72b4858c52df9b368026a" ns2:_="" ns3:_="">
    <xsd:import namespace="7fc5629f-a050-43db-8a70-ceb5369ea4f3"/>
    <xsd:import namespace="073c861d-c207-435a-9d08-1f006f50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629f-a050-43db-8a70-ceb5369e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861d-c207-435a-9d08-1f006f50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e52ba7-d45f-45bf-b683-d871f00b58ba}" ma:internalName="TaxCatchAll" ma:showField="CatchAllData" ma:web="073c861d-c207-435a-9d08-1f006f50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5629f-a050-43db-8a70-ceb5369ea4f3">
      <Terms xmlns="http://schemas.microsoft.com/office/infopath/2007/PartnerControls"/>
    </lcf76f155ced4ddcb4097134ff3c332f>
    <TaxCatchAll xmlns="073c861d-c207-435a-9d08-1f006f508f2c" xsi:nil="true"/>
  </documentManagement>
</p:properties>
</file>

<file path=customXml/itemProps1.xml><?xml version="1.0" encoding="utf-8"?>
<ds:datastoreItem xmlns:ds="http://schemas.openxmlformats.org/officeDocument/2006/customXml" ds:itemID="{89B8CC99-3979-47AD-AA1F-60145EF3CC7B}"/>
</file>

<file path=customXml/itemProps2.xml><?xml version="1.0" encoding="utf-8"?>
<ds:datastoreItem xmlns:ds="http://schemas.openxmlformats.org/officeDocument/2006/customXml" ds:itemID="{3440BF4B-1319-45E4-81BD-83299C1EBFB7}"/>
</file>

<file path=customXml/itemProps3.xml><?xml version="1.0" encoding="utf-8"?>
<ds:datastoreItem xmlns:ds="http://schemas.openxmlformats.org/officeDocument/2006/customXml" ds:itemID="{96E521D2-D75A-4304-B104-FFEA9EBC7E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Tuva Degré</dc:creator>
  <keywords/>
  <dc:description/>
  <lastModifiedBy>Tuva Degré</lastModifiedBy>
  <dcterms:created xsi:type="dcterms:W3CDTF">2026-04-21T12:58:21.0000000Z</dcterms:created>
  <dcterms:modified xsi:type="dcterms:W3CDTF">2026-04-21T13:14:52.0643515Z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0x010100554C3FAF14828C4AB3DFBEDFDA15CECE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